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76401" w14:textId="77777777" w:rsidR="00D43C35" w:rsidRDefault="00D43C35" w:rsidP="00D43C35">
      <w:pPr>
        <w:pStyle w:val="O-TITLECENTEREDB"/>
      </w:pPr>
      <w:r>
        <w:t>TO BE PRINTED IN THE BODY OF THE OFFICIAL STATEMENT OR AS AN EXHIBIT</w:t>
      </w:r>
    </w:p>
    <w:p w14:paraId="52C476AB" w14:textId="77777777" w:rsidR="00D43C35" w:rsidRDefault="00D43C35" w:rsidP="00D43C35">
      <w:pPr>
        <w:pStyle w:val="O-TITLECENTEREDB"/>
      </w:pPr>
      <w:r>
        <w:t>USE THE FOLLOWING LANGUAGE WHEN INSURING THE ENTIRE ISSUE:</w:t>
      </w:r>
    </w:p>
    <w:p w14:paraId="56096512" w14:textId="77777777" w:rsidR="00D43C35" w:rsidRDefault="00D43C35" w:rsidP="00D43C35">
      <w:pPr>
        <w:pStyle w:val="O-TitleBldCtrLowerCaps"/>
        <w:spacing w:after="0"/>
      </w:pPr>
      <w:r>
        <w:rPr>
          <w:u w:val="single"/>
        </w:rPr>
        <w:t>NOTE</w:t>
      </w:r>
      <w:r>
        <w:t>:  The language under the subheading “Bond Insurance Policy” should be modified when</w:t>
      </w:r>
    </w:p>
    <w:p w14:paraId="41775368" w14:textId="77777777" w:rsidR="00D43C35" w:rsidRDefault="00D43C35" w:rsidP="00D43C35">
      <w:pPr>
        <w:pStyle w:val="O-TitleBldCtrLowerCaps"/>
      </w:pPr>
      <w:r>
        <w:t xml:space="preserve">insuring Capital Appreciation Bonds, Partial Maturities </w:t>
      </w:r>
      <w:r>
        <w:br/>
        <w:t>(less than the entire issue), Certifi</w:t>
      </w:r>
      <w:r w:rsidR="00794B67">
        <w:t xml:space="preserve">cates and/or Notes.  </w:t>
      </w:r>
      <w:r w:rsidR="00794B67">
        <w:br/>
      </w:r>
    </w:p>
    <w:p w14:paraId="19C79DE4" w14:textId="77777777" w:rsidR="00D43C35" w:rsidRDefault="00D43C35" w:rsidP="00D43C35">
      <w:pPr>
        <w:pStyle w:val="O-TITLECENTEREDB"/>
      </w:pPr>
      <w:r>
        <w:t>BOND INSURANCE</w:t>
      </w:r>
    </w:p>
    <w:p w14:paraId="1A00F6E4" w14:textId="77777777" w:rsidR="00C64D3F" w:rsidRPr="00E8002A" w:rsidRDefault="00C64D3F" w:rsidP="00C64D3F">
      <w:pPr>
        <w:pStyle w:val="O-TitleLeftU"/>
        <w:rPr>
          <w:b/>
          <w:sz w:val="22"/>
          <w:szCs w:val="22"/>
        </w:rPr>
      </w:pPr>
      <w:r w:rsidRPr="00E8002A">
        <w:rPr>
          <w:b/>
          <w:sz w:val="22"/>
          <w:szCs w:val="22"/>
        </w:rPr>
        <w:t>BOND INSURANCE POLICY</w:t>
      </w:r>
    </w:p>
    <w:p w14:paraId="320C521C" w14:textId="77777777" w:rsidR="00C64D3F" w:rsidRPr="00E8002A" w:rsidRDefault="00C64D3F" w:rsidP="00C64D3F">
      <w:pPr>
        <w:pStyle w:val="O-BodyTextJ"/>
        <w:rPr>
          <w:sz w:val="22"/>
          <w:szCs w:val="22"/>
        </w:rPr>
      </w:pPr>
      <w:r w:rsidRPr="00E8002A">
        <w:rPr>
          <w:sz w:val="22"/>
          <w:szCs w:val="22"/>
        </w:rPr>
        <w:t xml:space="preserve">Concurrently with the issuance of the Bonds, Build America Mutual Assurance Company (“BAM”) will issue its Municipal Bond Insurance Policy for the Bonds (the “Policy”).  The Policy guarantees the scheduled payment of principal of and interest on the Bonds when due as set forth in the form of the Policy included as an exhibit to this Official Statement. </w:t>
      </w:r>
    </w:p>
    <w:p w14:paraId="1DB6C860" w14:textId="77777777" w:rsidR="00C64D3F" w:rsidRPr="00E8002A" w:rsidRDefault="00C64D3F" w:rsidP="00C64D3F">
      <w:pPr>
        <w:pStyle w:val="O-BodyTextJ"/>
        <w:rPr>
          <w:color w:val="FF0000"/>
          <w:sz w:val="22"/>
          <w:szCs w:val="22"/>
        </w:rPr>
      </w:pPr>
      <w:r w:rsidRPr="00E8002A">
        <w:rPr>
          <w:sz w:val="22"/>
          <w:szCs w:val="22"/>
        </w:rPr>
        <w:t xml:space="preserve">The Policy is not covered by any insurance security or guaranty fund established under New York, California, </w:t>
      </w:r>
      <w:proofErr w:type="gramStart"/>
      <w:r w:rsidRPr="00E8002A">
        <w:rPr>
          <w:sz w:val="22"/>
          <w:szCs w:val="22"/>
        </w:rPr>
        <w:t>Connecticut</w:t>
      </w:r>
      <w:proofErr w:type="gramEnd"/>
      <w:r w:rsidRPr="00E8002A">
        <w:rPr>
          <w:sz w:val="22"/>
          <w:szCs w:val="22"/>
        </w:rPr>
        <w:t xml:space="preserve"> or Florida insurance law.  </w:t>
      </w:r>
    </w:p>
    <w:p w14:paraId="0831DA4D" w14:textId="77777777" w:rsidR="00C64D3F" w:rsidRPr="00E8002A" w:rsidRDefault="00C64D3F" w:rsidP="00C64D3F">
      <w:pPr>
        <w:pStyle w:val="O-TitleLeftU"/>
        <w:rPr>
          <w:b/>
          <w:sz w:val="22"/>
          <w:szCs w:val="22"/>
        </w:rPr>
      </w:pPr>
      <w:r w:rsidRPr="00E8002A">
        <w:rPr>
          <w:b/>
          <w:sz w:val="22"/>
          <w:szCs w:val="22"/>
        </w:rPr>
        <w:t>BUILD AMERICA MUTUAL ASSURANCE COMPANY</w:t>
      </w:r>
    </w:p>
    <w:p w14:paraId="592006D6" w14:textId="7F1CAD49" w:rsidR="00B47B23" w:rsidRDefault="00B47B23" w:rsidP="00277EBD">
      <w:pPr>
        <w:jc w:val="both"/>
        <w:rPr>
          <w:sz w:val="22"/>
          <w:szCs w:val="22"/>
        </w:rPr>
      </w:pPr>
      <w:r w:rsidRPr="00B47B23">
        <w:rPr>
          <w:sz w:val="22"/>
          <w:szCs w:val="22"/>
        </w:rPr>
        <w:t xml:space="preserve">BAM is a New York domiciled mutual insurance corporation and is licensed to conduct financial guaranty insurance business in all fifty states of the United States and the District of Columbia.  BAM provides credit enhancement products solely to issuers in the U.S. public finance markets.  BAM will only </w:t>
      </w:r>
      <w:proofErr w:type="gramStart"/>
      <w:r w:rsidRPr="00B47B23">
        <w:rPr>
          <w:sz w:val="22"/>
          <w:szCs w:val="22"/>
        </w:rPr>
        <w:t>insure</w:t>
      </w:r>
      <w:proofErr w:type="gramEnd"/>
      <w:r w:rsidRPr="00B47B23">
        <w:rPr>
          <w:sz w:val="22"/>
          <w:szCs w:val="22"/>
        </w:rPr>
        <w:t xml:space="preserve"> municipal bonds, as defined in Section 6901 of the New York Insurance Law, which are most often issued by states, political subdivisions, integral parts of states or political subdivisions or entities otherwise eligible for the exclusion of income under section 115 of the U.S. Internal Revenue Code of 1986, as amended.  No member of BAM is liable for the obligations of BA</w:t>
      </w:r>
      <w:r w:rsidR="00C64D3F" w:rsidRPr="00E8002A">
        <w:rPr>
          <w:sz w:val="22"/>
          <w:szCs w:val="22"/>
        </w:rPr>
        <w:t>M.</w:t>
      </w:r>
    </w:p>
    <w:p w14:paraId="5AF4D014" w14:textId="77777777" w:rsidR="00B47B23" w:rsidRPr="00B47B23" w:rsidRDefault="00B47B23" w:rsidP="00277EBD">
      <w:pPr>
        <w:jc w:val="both"/>
        <w:rPr>
          <w:rFonts w:eastAsia="Times New Roman"/>
        </w:rPr>
      </w:pPr>
    </w:p>
    <w:p w14:paraId="7229BCC1" w14:textId="61D8E6ED" w:rsidR="00C64D3F" w:rsidRPr="00E8002A" w:rsidRDefault="00C64D3F" w:rsidP="00277EBD">
      <w:pPr>
        <w:pStyle w:val="O-BodyTextJ"/>
        <w:rPr>
          <w:sz w:val="22"/>
          <w:szCs w:val="22"/>
        </w:rPr>
      </w:pPr>
      <w:r w:rsidRPr="00E8002A">
        <w:rPr>
          <w:sz w:val="22"/>
          <w:szCs w:val="22"/>
        </w:rPr>
        <w:t xml:space="preserve">The address of the principal executive offices of BAM is: </w:t>
      </w:r>
      <w:r w:rsidR="004E7C59" w:rsidRPr="00E8002A">
        <w:rPr>
          <w:sz w:val="22"/>
          <w:szCs w:val="22"/>
        </w:rPr>
        <w:t>200 Liberty Street</w:t>
      </w:r>
      <w:r w:rsidRPr="00E8002A">
        <w:rPr>
          <w:sz w:val="22"/>
          <w:szCs w:val="22"/>
        </w:rPr>
        <w:t>, 27</w:t>
      </w:r>
      <w:r w:rsidRPr="00E8002A">
        <w:rPr>
          <w:sz w:val="22"/>
          <w:szCs w:val="22"/>
          <w:vertAlign w:val="superscript"/>
        </w:rPr>
        <w:t>th</w:t>
      </w:r>
      <w:r w:rsidR="004E7C59">
        <w:rPr>
          <w:sz w:val="22"/>
          <w:szCs w:val="22"/>
        </w:rPr>
        <w:t xml:space="preserve"> Floor,</w:t>
      </w:r>
      <w:r w:rsidRPr="00E8002A">
        <w:rPr>
          <w:sz w:val="22"/>
          <w:szCs w:val="22"/>
        </w:rPr>
        <w:t xml:space="preserve"> New York, New York 10281</w:t>
      </w:r>
      <w:r>
        <w:rPr>
          <w:sz w:val="22"/>
          <w:szCs w:val="22"/>
        </w:rPr>
        <w:t>,</w:t>
      </w:r>
      <w:r w:rsidRPr="00E8002A">
        <w:rPr>
          <w:sz w:val="22"/>
          <w:szCs w:val="22"/>
        </w:rPr>
        <w:t xml:space="preserve"> its telephone number is: 212-235-2500, and its website is located at: www.buildamerica.com. </w:t>
      </w:r>
    </w:p>
    <w:p w14:paraId="463B1F24" w14:textId="77777777" w:rsidR="00C64D3F" w:rsidRPr="00E8002A" w:rsidRDefault="00C64D3F" w:rsidP="00277EBD">
      <w:pPr>
        <w:pStyle w:val="O-BodyTextJ"/>
        <w:rPr>
          <w:sz w:val="22"/>
          <w:szCs w:val="22"/>
        </w:rPr>
      </w:pPr>
      <w:r w:rsidRPr="00E8002A">
        <w:rPr>
          <w:sz w:val="22"/>
          <w:szCs w:val="22"/>
        </w:rPr>
        <w:t>BAM is licensed and subject to regulation as a financial guaranty insurance corporation under the laws of the State of New York and in particular Articles 41 and 69 of the New York Insurance Law.</w:t>
      </w:r>
    </w:p>
    <w:p w14:paraId="652678A0" w14:textId="3F4F032C" w:rsidR="00C64D3F" w:rsidRPr="00E8002A" w:rsidRDefault="00A725AD" w:rsidP="00C64D3F">
      <w:pPr>
        <w:pStyle w:val="O-BodyTextJ"/>
        <w:rPr>
          <w:sz w:val="22"/>
          <w:szCs w:val="22"/>
        </w:rPr>
      </w:pPr>
      <w:r w:rsidRPr="00E8002A">
        <w:rPr>
          <w:sz w:val="22"/>
          <w:szCs w:val="22"/>
        </w:rPr>
        <w:t xml:space="preserve">BAM’s financial strength is rated “AA/Stable” by </w:t>
      </w:r>
      <w:r>
        <w:rPr>
          <w:sz w:val="22"/>
          <w:szCs w:val="22"/>
        </w:rPr>
        <w:t>S&amp;P Global Ratings</w:t>
      </w:r>
      <w:r w:rsidR="00C83A88">
        <w:rPr>
          <w:sz w:val="22"/>
          <w:szCs w:val="22"/>
        </w:rPr>
        <w:t>, a business unit of Standard &amp; Poor's Financial Services LLC (“S&amp;P”)</w:t>
      </w:r>
      <w:r w:rsidR="00C64D3F" w:rsidRPr="00E8002A">
        <w:rPr>
          <w:sz w:val="22"/>
          <w:szCs w:val="22"/>
        </w:rPr>
        <w:t xml:space="preserve">. </w:t>
      </w:r>
      <w:r w:rsidR="008710D5">
        <w:rPr>
          <w:sz w:val="22"/>
          <w:szCs w:val="22"/>
        </w:rPr>
        <w:t xml:space="preserve"> </w:t>
      </w:r>
      <w:r w:rsidR="00C64D3F" w:rsidRPr="00E8002A">
        <w:rPr>
          <w:sz w:val="22"/>
          <w:szCs w:val="22"/>
        </w:rPr>
        <w:t xml:space="preserve">An explanation of the significance of the rating and current reports may be obtained from S&amp;P at </w:t>
      </w:r>
      <w:hyperlink r:id="rId8" w:history="1">
        <w:r w:rsidR="00C64D3F" w:rsidRPr="00E8002A">
          <w:rPr>
            <w:rStyle w:val="Hyperlink"/>
            <w:sz w:val="22"/>
            <w:szCs w:val="22"/>
          </w:rPr>
          <w:t>www.standardandpoors.com</w:t>
        </w:r>
      </w:hyperlink>
      <w:r w:rsidR="00C64D3F" w:rsidRPr="00E8002A">
        <w:rPr>
          <w:sz w:val="22"/>
          <w:szCs w:val="22"/>
        </w:rPr>
        <w:t>.   The rating of BAM should be evaluated independently. The rating reflects S&amp;P’s current assessment of the creditworthiness of BAM and its ability to pay claims on its policies of insurance. The above rating is not a recommendation to buy, sell or hold the Bonds, and such rating is subject to revision or withdrawal at any time by S&amp;P, including withdrawal initiated at the request of BAM in its sole discretion.  Any downward revision or withdrawal of the above rating may have an adverse effect on the market price of the Bonds.  BAM only guarantees scheduled principal and scheduled interest payments payable by the issuer of the Bonds on the date(s) when such amounts were initially scheduled to become due and payable (subject to and in accordance with the terms of the Policy), and BAM does not guarantee the market price or liquidity of the Bonds, nor does it guarantee that the rating on the Bonds will not be revised or withdrawn.</w:t>
      </w:r>
    </w:p>
    <w:p w14:paraId="0FEE7615" w14:textId="77777777" w:rsidR="00C64D3F" w:rsidRPr="00E8002A" w:rsidRDefault="00C64D3F" w:rsidP="00D51272">
      <w:pPr>
        <w:pStyle w:val="O-BodyTextJ"/>
        <w:jc w:val="left"/>
        <w:rPr>
          <w:i/>
          <w:sz w:val="22"/>
          <w:szCs w:val="22"/>
        </w:rPr>
      </w:pPr>
      <w:r w:rsidRPr="00E8002A">
        <w:rPr>
          <w:i/>
          <w:sz w:val="22"/>
          <w:szCs w:val="22"/>
        </w:rPr>
        <w:t>Capitalization of BAM</w:t>
      </w:r>
    </w:p>
    <w:p w14:paraId="0BACDB75" w14:textId="6BC43AD3" w:rsidR="000A5BBA" w:rsidRPr="000A5BBA" w:rsidRDefault="0050486C" w:rsidP="000A5BBA">
      <w:pPr>
        <w:pStyle w:val="O-BodyTextJ"/>
        <w:rPr>
          <w:bCs/>
          <w:sz w:val="22"/>
          <w:szCs w:val="22"/>
        </w:rPr>
      </w:pPr>
      <w:r w:rsidRPr="0050486C">
        <w:rPr>
          <w:bCs/>
          <w:sz w:val="22"/>
          <w:szCs w:val="22"/>
        </w:rPr>
        <w:t>BAM’s total admitted assets, total liabilities, and total capital and surplus, as of</w:t>
      </w:r>
      <w:r w:rsidR="00174EC4">
        <w:rPr>
          <w:bCs/>
          <w:sz w:val="22"/>
          <w:szCs w:val="22"/>
        </w:rPr>
        <w:t xml:space="preserve"> March </w:t>
      </w:r>
      <w:r w:rsidRPr="0050486C">
        <w:rPr>
          <w:bCs/>
          <w:sz w:val="22"/>
          <w:szCs w:val="22"/>
        </w:rPr>
        <w:t xml:space="preserve">31, </w:t>
      </w:r>
      <w:proofErr w:type="gramStart"/>
      <w:r w:rsidRPr="0050486C">
        <w:rPr>
          <w:bCs/>
          <w:sz w:val="22"/>
          <w:szCs w:val="22"/>
        </w:rPr>
        <w:t>202</w:t>
      </w:r>
      <w:r w:rsidR="00174EC4">
        <w:rPr>
          <w:bCs/>
          <w:sz w:val="22"/>
          <w:szCs w:val="22"/>
        </w:rPr>
        <w:t>4</w:t>
      </w:r>
      <w:proofErr w:type="gramEnd"/>
      <w:r w:rsidRPr="0050486C">
        <w:rPr>
          <w:bCs/>
          <w:sz w:val="22"/>
          <w:szCs w:val="22"/>
        </w:rPr>
        <w:t> and as prepared in accordance with statutory accounting practices prescribed or permitted by the New York State Department of Financial Services were $</w:t>
      </w:r>
      <w:r w:rsidR="00174EC4">
        <w:rPr>
          <w:bCs/>
          <w:sz w:val="22"/>
          <w:szCs w:val="22"/>
        </w:rPr>
        <w:t>483.2</w:t>
      </w:r>
      <w:r w:rsidRPr="0050486C">
        <w:rPr>
          <w:bCs/>
          <w:sz w:val="22"/>
          <w:szCs w:val="22"/>
        </w:rPr>
        <w:t> million, $2</w:t>
      </w:r>
      <w:r w:rsidR="00174EC4">
        <w:rPr>
          <w:bCs/>
          <w:sz w:val="22"/>
          <w:szCs w:val="22"/>
        </w:rPr>
        <w:t>21</w:t>
      </w:r>
      <w:r w:rsidRPr="0050486C">
        <w:rPr>
          <w:bCs/>
          <w:sz w:val="22"/>
          <w:szCs w:val="22"/>
        </w:rPr>
        <w:t>.</w:t>
      </w:r>
      <w:r w:rsidR="00174EC4">
        <w:rPr>
          <w:bCs/>
          <w:sz w:val="22"/>
          <w:szCs w:val="22"/>
        </w:rPr>
        <w:t>8</w:t>
      </w:r>
      <w:r w:rsidRPr="0050486C">
        <w:rPr>
          <w:bCs/>
          <w:sz w:val="22"/>
          <w:szCs w:val="22"/>
        </w:rPr>
        <w:t> million and $26</w:t>
      </w:r>
      <w:r w:rsidR="00174EC4">
        <w:rPr>
          <w:bCs/>
          <w:sz w:val="22"/>
          <w:szCs w:val="22"/>
        </w:rPr>
        <w:t>1</w:t>
      </w:r>
      <w:r w:rsidRPr="0050486C">
        <w:rPr>
          <w:bCs/>
          <w:sz w:val="22"/>
          <w:szCs w:val="22"/>
        </w:rPr>
        <w:t>.</w:t>
      </w:r>
      <w:r w:rsidR="00174EC4">
        <w:rPr>
          <w:bCs/>
          <w:sz w:val="22"/>
          <w:szCs w:val="22"/>
        </w:rPr>
        <w:t>4</w:t>
      </w:r>
      <w:r w:rsidRPr="0050486C">
        <w:rPr>
          <w:bCs/>
          <w:sz w:val="22"/>
          <w:szCs w:val="22"/>
        </w:rPr>
        <w:t> million, respectively</w:t>
      </w:r>
      <w:r w:rsidR="00FF58B9" w:rsidRPr="00FF58B9">
        <w:rPr>
          <w:bCs/>
          <w:sz w:val="22"/>
          <w:szCs w:val="22"/>
        </w:rPr>
        <w:t>.</w:t>
      </w:r>
    </w:p>
    <w:p w14:paraId="6527840C" w14:textId="77777777" w:rsidR="001D122C" w:rsidRPr="001D122C" w:rsidRDefault="001D122C" w:rsidP="001D122C">
      <w:pPr>
        <w:pStyle w:val="O-BodyTextJ"/>
        <w:rPr>
          <w:sz w:val="22"/>
          <w:szCs w:val="22"/>
        </w:rPr>
      </w:pPr>
      <w:r w:rsidRPr="001D122C">
        <w:rPr>
          <w:sz w:val="22"/>
          <w:szCs w:val="22"/>
        </w:rPr>
        <w:t xml:space="preserve">BAM is party to a first loss reinsurance treaty that provides first loss protection up to a maximum of 15% of the par amount outstanding for each policy issued by BAM, subject to certain limitations and restrictions. </w:t>
      </w:r>
    </w:p>
    <w:p w14:paraId="38019ACC" w14:textId="77777777" w:rsidR="001D122C" w:rsidRPr="001D122C" w:rsidRDefault="001D122C" w:rsidP="001D122C">
      <w:pPr>
        <w:pStyle w:val="O-BodyTextJ"/>
        <w:rPr>
          <w:sz w:val="22"/>
          <w:szCs w:val="22"/>
        </w:rPr>
      </w:pPr>
      <w:r w:rsidRPr="001D122C">
        <w:rPr>
          <w:sz w:val="22"/>
          <w:szCs w:val="22"/>
        </w:rPr>
        <w:lastRenderedPageBreak/>
        <w:t xml:space="preserve">BAM’s most recent Statutory Annual Statement, which has been filed with the New York State Insurance Department and posted on BAM’s website at www.buildamerica.com, is incorporated herein by reference and may be obtained, without charge, upon request to BAM at its address provided </w:t>
      </w:r>
      <w:proofErr w:type="gramStart"/>
      <w:r w:rsidRPr="001D122C">
        <w:rPr>
          <w:sz w:val="22"/>
          <w:szCs w:val="22"/>
        </w:rPr>
        <w:t>above  (</w:t>
      </w:r>
      <w:proofErr w:type="gramEnd"/>
      <w:r w:rsidRPr="001D122C">
        <w:rPr>
          <w:sz w:val="22"/>
          <w:szCs w:val="22"/>
        </w:rPr>
        <w:t>Attention: Finance Department).  Future financial statements will similarly be made available when published.</w:t>
      </w:r>
    </w:p>
    <w:p w14:paraId="309C672A" w14:textId="77777777" w:rsidR="006423F7" w:rsidRPr="006423F7" w:rsidRDefault="001D122C" w:rsidP="001D122C">
      <w:pPr>
        <w:pStyle w:val="O-BodyTextJ"/>
      </w:pPr>
      <w:r w:rsidRPr="001D122C">
        <w:rPr>
          <w:sz w:val="22"/>
          <w:szCs w:val="22"/>
        </w:rPr>
        <w:t xml:space="preserve">BAM makes no representation regarding the Bonds or the advisability of investing in the Bonds.  In addition, BAM has not independently verified, makes no representation regarding, and does not accept any responsibility for the accuracy or completeness of this Official Statement or any information or disclosure contained herein, or omitted </w:t>
      </w:r>
      <w:proofErr w:type="spellStart"/>
      <w:r w:rsidRPr="001D122C">
        <w:rPr>
          <w:sz w:val="22"/>
          <w:szCs w:val="22"/>
        </w:rPr>
        <w:t>herefrom</w:t>
      </w:r>
      <w:proofErr w:type="spellEnd"/>
      <w:r w:rsidRPr="001D122C">
        <w:rPr>
          <w:sz w:val="22"/>
          <w:szCs w:val="22"/>
        </w:rPr>
        <w:t>, other than with respect to the accuracy of the information regarding BAM, supplied by BAM and presented under the heading “BOND INSURANCE”</w:t>
      </w:r>
      <w:r w:rsidR="006423F7" w:rsidRPr="006423F7">
        <w:t>.</w:t>
      </w:r>
    </w:p>
    <w:p w14:paraId="5016180E" w14:textId="77777777" w:rsidR="0014444A" w:rsidRPr="00430DCB" w:rsidRDefault="0014444A" w:rsidP="0014444A">
      <w:pPr>
        <w:pStyle w:val="O-BodyTextJ"/>
        <w:rPr>
          <w:i/>
          <w:iCs/>
          <w:sz w:val="22"/>
          <w:szCs w:val="22"/>
        </w:rPr>
      </w:pPr>
      <w:r w:rsidRPr="00430DCB">
        <w:rPr>
          <w:i/>
          <w:iCs/>
          <w:sz w:val="22"/>
          <w:szCs w:val="22"/>
        </w:rPr>
        <w:t>Additional Information Available from BAM</w:t>
      </w:r>
    </w:p>
    <w:p w14:paraId="4C72964D" w14:textId="1DB8A944" w:rsidR="00D66DBD" w:rsidRPr="003016F1" w:rsidRDefault="00D66DBD" w:rsidP="00D66DBD">
      <w:pPr>
        <w:pStyle w:val="O-BodyTextJ"/>
        <w:rPr>
          <w:sz w:val="22"/>
          <w:szCs w:val="22"/>
        </w:rPr>
      </w:pPr>
      <w:r w:rsidRPr="00430DCB">
        <w:rPr>
          <w:b/>
          <w:iCs/>
          <w:sz w:val="22"/>
          <w:szCs w:val="22"/>
        </w:rPr>
        <w:t xml:space="preserve">Credit Insights Videos. </w:t>
      </w:r>
      <w:r w:rsidRPr="00430DCB">
        <w:rPr>
          <w:sz w:val="22"/>
          <w:szCs w:val="22"/>
        </w:rPr>
        <w:t xml:space="preserve">For certain BAM-insured issues, BAM produces and posts a brief Credit Insights video that provides a discussion of the obligor and </w:t>
      </w:r>
      <w:r w:rsidRPr="00430DCB">
        <w:rPr>
          <w:bCs/>
          <w:sz w:val="22"/>
          <w:szCs w:val="22"/>
        </w:rPr>
        <w:t>some of the key factors BAM’s analysts and credit committee considered when</w:t>
      </w:r>
      <w:r w:rsidRPr="00430DCB">
        <w:rPr>
          <w:b/>
          <w:bCs/>
          <w:sz w:val="22"/>
          <w:szCs w:val="22"/>
        </w:rPr>
        <w:t xml:space="preserve"> </w:t>
      </w:r>
      <w:r w:rsidRPr="00430DCB">
        <w:rPr>
          <w:sz w:val="22"/>
          <w:szCs w:val="22"/>
        </w:rPr>
        <w:t xml:space="preserve">approving the credit for insurance.  The Credit Insights videos are easily accessible on BAM's website at </w:t>
      </w:r>
      <w:hyperlink r:id="rId9" w:tooltip="http://www.buildamerica.com/videos" w:history="1">
        <w:r w:rsidR="003016F1" w:rsidRPr="003016F1">
          <w:rPr>
            <w:rStyle w:val="Hyperlink"/>
            <w:sz w:val="22"/>
            <w:szCs w:val="22"/>
          </w:rPr>
          <w:t>www.buildamerica.com/videos</w:t>
        </w:r>
      </w:hyperlink>
      <w:r w:rsidRPr="00430DCB">
        <w:rPr>
          <w:sz w:val="22"/>
          <w:szCs w:val="22"/>
        </w:rPr>
        <w:t>.</w:t>
      </w:r>
      <w:r>
        <w:rPr>
          <w:sz w:val="22"/>
          <w:szCs w:val="22"/>
        </w:rPr>
        <w:t xml:space="preserve">  (The preceding website address is provided for convenience of reference only.  Information available at such address is not incorporated herein by reference.)</w:t>
      </w:r>
    </w:p>
    <w:p w14:paraId="62FCF0CC" w14:textId="2051FE17" w:rsidR="00D66DBD" w:rsidRPr="00430DCB" w:rsidRDefault="006D4C6B" w:rsidP="00D66DBD">
      <w:pPr>
        <w:pStyle w:val="O-BodyTextJ"/>
        <w:rPr>
          <w:sz w:val="22"/>
          <w:szCs w:val="22"/>
        </w:rPr>
      </w:pPr>
      <w:r>
        <w:rPr>
          <w:b/>
          <w:sz w:val="22"/>
          <w:szCs w:val="22"/>
        </w:rPr>
        <w:t>Credit Profiles</w:t>
      </w:r>
      <w:r w:rsidR="00D66DBD" w:rsidRPr="00430DCB">
        <w:rPr>
          <w:b/>
          <w:sz w:val="22"/>
          <w:szCs w:val="22"/>
        </w:rPr>
        <w:t xml:space="preserve">.  </w:t>
      </w:r>
      <w:r w:rsidR="00D66DBD" w:rsidRPr="00C0010B">
        <w:rPr>
          <w:sz w:val="22"/>
          <w:szCs w:val="22"/>
        </w:rPr>
        <w:t xml:space="preserve">Prior to the pricing of bonds that BAM has been selected to insure, BAM may prepare a pre-sale </w:t>
      </w:r>
      <w:r>
        <w:rPr>
          <w:sz w:val="22"/>
          <w:szCs w:val="22"/>
        </w:rPr>
        <w:t>Credit Profile</w:t>
      </w:r>
      <w:r w:rsidR="00D66DBD" w:rsidRPr="00C0010B">
        <w:rPr>
          <w:sz w:val="22"/>
          <w:szCs w:val="22"/>
        </w:rPr>
        <w:t xml:space="preserve"> for those bonds. These pre-sale </w:t>
      </w:r>
      <w:r>
        <w:rPr>
          <w:sz w:val="22"/>
          <w:szCs w:val="22"/>
        </w:rPr>
        <w:t>Credit Profiles</w:t>
      </w:r>
      <w:r w:rsidR="00D66DBD" w:rsidRPr="00C0010B">
        <w:rPr>
          <w:sz w:val="22"/>
          <w:szCs w:val="22"/>
        </w:rPr>
        <w:t xml:space="preserve"> provide information about the sector designation (e.g. general obligation, sales tax); a preliminary summary of financial information and key ratios; and demographic and economic data relevant to the obligor, if available. </w:t>
      </w:r>
      <w:proofErr w:type="gramStart"/>
      <w:r w:rsidR="00D66DBD" w:rsidRPr="00C0010B">
        <w:rPr>
          <w:sz w:val="22"/>
          <w:szCs w:val="22"/>
        </w:rPr>
        <w:t>Subsequent to</w:t>
      </w:r>
      <w:proofErr w:type="gramEnd"/>
      <w:r w:rsidR="00D66DBD" w:rsidRPr="00C0010B">
        <w:rPr>
          <w:sz w:val="22"/>
          <w:szCs w:val="22"/>
        </w:rPr>
        <w:t xml:space="preserve"> closing, for any offering that includes bonds insured by BAM, any pre-sale </w:t>
      </w:r>
      <w:r>
        <w:rPr>
          <w:sz w:val="22"/>
          <w:szCs w:val="22"/>
        </w:rPr>
        <w:t>Credit Profile</w:t>
      </w:r>
      <w:r w:rsidR="00D66DBD" w:rsidRPr="00C0010B">
        <w:rPr>
          <w:sz w:val="22"/>
          <w:szCs w:val="22"/>
        </w:rPr>
        <w:t xml:space="preserve"> will be updated and superseded by a final </w:t>
      </w:r>
      <w:r>
        <w:rPr>
          <w:sz w:val="22"/>
          <w:szCs w:val="22"/>
        </w:rPr>
        <w:t>Credit Profile</w:t>
      </w:r>
      <w:r w:rsidR="00D66DBD" w:rsidRPr="00C0010B">
        <w:rPr>
          <w:sz w:val="22"/>
          <w:szCs w:val="22"/>
        </w:rPr>
        <w:t xml:space="preserve"> to include information about the gross par insured by CUSIP, maturity and coupon.  BAM pre-sale and final </w:t>
      </w:r>
      <w:r>
        <w:rPr>
          <w:sz w:val="22"/>
          <w:szCs w:val="22"/>
        </w:rPr>
        <w:t>Credit Profile</w:t>
      </w:r>
      <w:r w:rsidR="00D66DBD" w:rsidRPr="00C0010B">
        <w:rPr>
          <w:sz w:val="22"/>
          <w:szCs w:val="22"/>
        </w:rPr>
        <w:t xml:space="preserve">s are easily accessible on BAM's website at </w:t>
      </w:r>
      <w:hyperlink r:id="rId10" w:tooltip="http://www.buildamerica.com/credit-profiles" w:history="1">
        <w:r w:rsidR="003016F1" w:rsidRPr="003016F1">
          <w:rPr>
            <w:rStyle w:val="Hyperlink"/>
            <w:sz w:val="22"/>
            <w:szCs w:val="22"/>
          </w:rPr>
          <w:t>www.buildamerica.com/credit-profiles</w:t>
        </w:r>
      </w:hyperlink>
      <w:r w:rsidR="00D66DBD" w:rsidRPr="00C0010B">
        <w:rPr>
          <w:sz w:val="22"/>
          <w:szCs w:val="22"/>
        </w:rPr>
        <w:t xml:space="preserve">.  BAM will produce a </w:t>
      </w:r>
      <w:r>
        <w:rPr>
          <w:sz w:val="22"/>
          <w:szCs w:val="22"/>
        </w:rPr>
        <w:t>Credit Profile</w:t>
      </w:r>
      <w:r w:rsidR="00D66DBD" w:rsidRPr="00C0010B">
        <w:rPr>
          <w:sz w:val="22"/>
          <w:szCs w:val="22"/>
        </w:rPr>
        <w:t xml:space="preserve"> for all bonds insured by BAM, </w:t>
      </w:r>
      <w:proofErr w:type="gramStart"/>
      <w:r w:rsidR="00D66DBD" w:rsidRPr="00C0010B">
        <w:rPr>
          <w:sz w:val="22"/>
          <w:szCs w:val="22"/>
        </w:rPr>
        <w:t>whether or not</w:t>
      </w:r>
      <w:proofErr w:type="gramEnd"/>
      <w:r w:rsidR="00D66DBD" w:rsidRPr="00C0010B">
        <w:rPr>
          <w:sz w:val="22"/>
          <w:szCs w:val="22"/>
        </w:rPr>
        <w:t xml:space="preserve"> a pre-sale </w:t>
      </w:r>
      <w:r>
        <w:rPr>
          <w:sz w:val="22"/>
          <w:szCs w:val="22"/>
        </w:rPr>
        <w:t>Credit Profile</w:t>
      </w:r>
      <w:r w:rsidR="00D66DBD" w:rsidRPr="00C0010B">
        <w:rPr>
          <w:sz w:val="22"/>
          <w:szCs w:val="22"/>
        </w:rPr>
        <w:t xml:space="preserve"> has been prepared for such bonds</w:t>
      </w:r>
      <w:r w:rsidR="00D66DBD" w:rsidRPr="00430DCB">
        <w:rPr>
          <w:sz w:val="22"/>
          <w:szCs w:val="22"/>
        </w:rPr>
        <w:t xml:space="preserve">. </w:t>
      </w:r>
      <w:r w:rsidR="00D66DBD">
        <w:rPr>
          <w:sz w:val="22"/>
          <w:szCs w:val="22"/>
        </w:rPr>
        <w:t xml:space="preserve"> </w:t>
      </w:r>
      <w:r w:rsidR="00D66DBD" w:rsidRPr="0087119D">
        <w:rPr>
          <w:sz w:val="22"/>
          <w:szCs w:val="22"/>
        </w:rPr>
        <w:t>(The preceding website address is provided for convenience of reference only.  Information available at such address is not incorporated herein by reference.)</w:t>
      </w:r>
    </w:p>
    <w:p w14:paraId="0E705CEF" w14:textId="7763B119" w:rsidR="0014444A" w:rsidRPr="00430DCB" w:rsidRDefault="0014444A" w:rsidP="0014444A">
      <w:pPr>
        <w:pStyle w:val="O-BodyTextJ"/>
        <w:rPr>
          <w:b/>
          <w:sz w:val="22"/>
          <w:szCs w:val="22"/>
        </w:rPr>
      </w:pPr>
      <w:r w:rsidRPr="00430DCB">
        <w:rPr>
          <w:b/>
          <w:sz w:val="22"/>
          <w:szCs w:val="22"/>
        </w:rPr>
        <w:t xml:space="preserve">Disclaimers.  </w:t>
      </w:r>
      <w:r w:rsidRPr="00430DCB">
        <w:rPr>
          <w:sz w:val="22"/>
          <w:szCs w:val="22"/>
        </w:rPr>
        <w:t xml:space="preserve">The </w:t>
      </w:r>
      <w:r w:rsidR="006D4C6B">
        <w:rPr>
          <w:sz w:val="22"/>
          <w:szCs w:val="22"/>
        </w:rPr>
        <w:t>Credit Profiles</w:t>
      </w:r>
      <w:r w:rsidRPr="00430DCB">
        <w:rPr>
          <w:sz w:val="22"/>
          <w:szCs w:val="22"/>
        </w:rPr>
        <w:t xml:space="preserve"> and the Credit Insights videos and the information contained therein are not recommendations to purchase, hold or sell securities or to make any investment decisions.  Credit-related and other analyses and statements in the </w:t>
      </w:r>
      <w:r w:rsidR="006D4C6B">
        <w:rPr>
          <w:sz w:val="22"/>
          <w:szCs w:val="22"/>
        </w:rPr>
        <w:t>Credit Profile</w:t>
      </w:r>
      <w:r w:rsidRPr="00430DCB">
        <w:rPr>
          <w:sz w:val="22"/>
          <w:szCs w:val="22"/>
        </w:rPr>
        <w:t xml:space="preserve">s and the Credit Insights videos are statements of opinion as of the date expressed, and BAM assumes no responsibility to update the content of such material.  The </w:t>
      </w:r>
      <w:r w:rsidR="006D4C6B">
        <w:rPr>
          <w:sz w:val="22"/>
          <w:szCs w:val="22"/>
        </w:rPr>
        <w:t>Credit Profile</w:t>
      </w:r>
      <w:r w:rsidRPr="00430DCB">
        <w:rPr>
          <w:sz w:val="22"/>
          <w:szCs w:val="22"/>
        </w:rPr>
        <w:t>s and Credit Insight videos are prepared by BAM</w:t>
      </w:r>
      <w:r w:rsidR="009D2681">
        <w:rPr>
          <w:sz w:val="22"/>
          <w:szCs w:val="22"/>
        </w:rPr>
        <w:t>;</w:t>
      </w:r>
      <w:r w:rsidRPr="00430DCB">
        <w:rPr>
          <w:sz w:val="22"/>
          <w:szCs w:val="22"/>
        </w:rPr>
        <w:t xml:space="preserve"> </w:t>
      </w:r>
      <w:r w:rsidR="009D2681">
        <w:rPr>
          <w:sz w:val="22"/>
          <w:szCs w:val="22"/>
        </w:rPr>
        <w:t>they</w:t>
      </w:r>
      <w:r w:rsidR="009D2681" w:rsidRPr="00430DCB">
        <w:rPr>
          <w:sz w:val="22"/>
          <w:szCs w:val="22"/>
        </w:rPr>
        <w:t xml:space="preserve"> </w:t>
      </w:r>
      <w:r w:rsidRPr="00430DCB">
        <w:rPr>
          <w:sz w:val="22"/>
          <w:szCs w:val="22"/>
        </w:rPr>
        <w:t xml:space="preserve">have not been reviewed or approved by the issuer </w:t>
      </w:r>
      <w:r w:rsidR="00F76606">
        <w:rPr>
          <w:sz w:val="22"/>
          <w:szCs w:val="22"/>
        </w:rPr>
        <w:t xml:space="preserve">of </w:t>
      </w:r>
      <w:r w:rsidRPr="00430DCB">
        <w:rPr>
          <w:sz w:val="22"/>
          <w:szCs w:val="22"/>
        </w:rPr>
        <w:t>or the underwriter</w:t>
      </w:r>
      <w:r w:rsidR="00F5479D">
        <w:rPr>
          <w:sz w:val="22"/>
          <w:szCs w:val="22"/>
        </w:rPr>
        <w:t xml:space="preserve"> for the B</w:t>
      </w:r>
      <w:r w:rsidR="00F76606">
        <w:rPr>
          <w:sz w:val="22"/>
          <w:szCs w:val="22"/>
        </w:rPr>
        <w:t>onds</w:t>
      </w:r>
      <w:r w:rsidRPr="00430DCB">
        <w:rPr>
          <w:sz w:val="22"/>
          <w:szCs w:val="22"/>
        </w:rPr>
        <w:t xml:space="preserve">, and </w:t>
      </w:r>
      <w:r w:rsidR="009D2681">
        <w:rPr>
          <w:sz w:val="22"/>
          <w:szCs w:val="22"/>
        </w:rPr>
        <w:t>the issuer and underwriter</w:t>
      </w:r>
      <w:r w:rsidR="009D2681" w:rsidRPr="00430DCB">
        <w:rPr>
          <w:sz w:val="22"/>
          <w:szCs w:val="22"/>
        </w:rPr>
        <w:t xml:space="preserve"> </w:t>
      </w:r>
      <w:r w:rsidRPr="00430DCB">
        <w:rPr>
          <w:sz w:val="22"/>
          <w:szCs w:val="22"/>
        </w:rPr>
        <w:t>assume no responsibility for their content.</w:t>
      </w:r>
    </w:p>
    <w:p w14:paraId="07A9FEEA" w14:textId="77777777" w:rsidR="0014444A" w:rsidRPr="00430DCB" w:rsidRDefault="0014444A" w:rsidP="0014444A">
      <w:pPr>
        <w:pStyle w:val="O-BodyTextJ"/>
        <w:rPr>
          <w:sz w:val="22"/>
          <w:szCs w:val="22"/>
        </w:rPr>
      </w:pPr>
      <w:r w:rsidRPr="00430DCB">
        <w:rPr>
          <w:sz w:val="22"/>
          <w:szCs w:val="22"/>
        </w:rPr>
        <w:t>BAM receives compensation (an insurance premium) for the insurance that it is providing with respect to the Bonds. Neither BAM nor any affiliate of BAM has purchased, or committed to purchase, any of the Bonds, whether at the initial offering or otherwise</w:t>
      </w:r>
      <w:r w:rsidRPr="00430DCB">
        <w:t>.</w:t>
      </w:r>
    </w:p>
    <w:p w14:paraId="03111393" w14:textId="77777777" w:rsidR="0014444A" w:rsidRDefault="0014444A" w:rsidP="00A72D0C">
      <w:pPr>
        <w:pStyle w:val="O-BodyTextJ"/>
        <w:sectPr w:rsidR="0014444A" w:rsidSect="00062D62">
          <w:headerReference w:type="default" r:id="rId11"/>
          <w:pgSz w:w="12240" w:h="15840"/>
          <w:pgMar w:top="720" w:right="720" w:bottom="720" w:left="720" w:header="720" w:footer="720" w:gutter="0"/>
          <w:pgNumType w:start="1"/>
          <w:cols w:space="720"/>
          <w:docGrid w:linePitch="360"/>
        </w:sectPr>
      </w:pPr>
    </w:p>
    <w:p w14:paraId="45189838" w14:textId="77777777" w:rsidR="006423F7" w:rsidRDefault="006423F7" w:rsidP="00A72D0C">
      <w:pPr>
        <w:pStyle w:val="O-BodyTextJ"/>
        <w:sectPr w:rsidR="006423F7" w:rsidSect="00062D62">
          <w:type w:val="continuous"/>
          <w:pgSz w:w="12240" w:h="15840"/>
          <w:pgMar w:top="720" w:right="720" w:bottom="720" w:left="720" w:header="720" w:footer="720" w:gutter="0"/>
          <w:pgNumType w:start="1"/>
          <w:cols w:space="720"/>
          <w:docGrid w:linePitch="360"/>
        </w:sectPr>
      </w:pPr>
    </w:p>
    <w:p w14:paraId="5B947249" w14:textId="77777777" w:rsidR="003C1C35" w:rsidRPr="00A72D0C" w:rsidRDefault="003C1C35" w:rsidP="00A72D0C">
      <w:pPr>
        <w:pStyle w:val="O-BodyTextJ"/>
        <w:rPr>
          <w:b/>
        </w:rPr>
      </w:pPr>
      <w:r w:rsidRPr="00A72D0C">
        <w:rPr>
          <w:b/>
        </w:rPr>
        <w:lastRenderedPageBreak/>
        <w:t>The Bond Insurance language for the Official Statement under the subheading “Bond Insurance Policy” should be replaced with the following language when insuring:</w:t>
      </w:r>
    </w:p>
    <w:p w14:paraId="68F14178" w14:textId="77777777" w:rsidR="003C1C35" w:rsidRDefault="003C1C35">
      <w:pPr>
        <w:pStyle w:val="5hanging"/>
      </w:pPr>
      <w:r>
        <w:rPr>
          <w:b/>
        </w:rPr>
        <w:t>1.</w:t>
      </w:r>
      <w:r>
        <w:rPr>
          <w:b/>
        </w:rPr>
        <w:tab/>
        <w:t>CAPITAL APPRECIATION BONDS</w:t>
      </w:r>
      <w:r>
        <w:t>:</w:t>
      </w:r>
    </w:p>
    <w:p w14:paraId="0A698877" w14:textId="77777777" w:rsidR="003C1C35" w:rsidRDefault="003C1C35">
      <w:pPr>
        <w:pStyle w:val="O-Indent1"/>
        <w:jc w:val="both"/>
      </w:pPr>
      <w:r>
        <w:t>Concurrently with the issuance of the Bonds, Build America Mutual Assurance Company</w:t>
      </w:r>
      <w:r>
        <w:rPr>
          <w:szCs w:val="22"/>
        </w:rPr>
        <w:t xml:space="preserve"> </w:t>
      </w:r>
      <w:r>
        <w:t>(“BAM”) will issue its Municipal Bond Insurance Policy for the Bonds (the “Policy”).  The Policy guarantees the scheduled payment of principal of (or, in the case of Capital Appreciation Bonds, the accreted value) and interest on the Bonds when due as set forth in the form of the Policy included as an exhibit to this Official Statement.</w:t>
      </w:r>
    </w:p>
    <w:p w14:paraId="0DA4F7FA" w14:textId="77777777" w:rsidR="003C1C35" w:rsidRDefault="003C1C35">
      <w:pPr>
        <w:pStyle w:val="5hanging"/>
      </w:pPr>
      <w:r>
        <w:t>2.</w:t>
      </w:r>
      <w:r>
        <w:tab/>
      </w:r>
      <w:r>
        <w:rPr>
          <w:b/>
        </w:rPr>
        <w:t>PARTIAL MATURITIES (LESS THAN THE ENTIRE ISSUE)</w:t>
      </w:r>
      <w:r>
        <w:t>:</w:t>
      </w:r>
    </w:p>
    <w:p w14:paraId="0CC9F4E2" w14:textId="77777777" w:rsidR="003C1C35" w:rsidRDefault="003C1C35">
      <w:pPr>
        <w:pStyle w:val="O-Indent1"/>
        <w:jc w:val="both"/>
      </w:pPr>
      <w:r>
        <w:t>Concurrently with the issuance of the Bonds, Build America Mutual Assurance Company</w:t>
      </w:r>
      <w:r>
        <w:rPr>
          <w:szCs w:val="22"/>
        </w:rPr>
        <w:t xml:space="preserve"> </w:t>
      </w:r>
      <w:r>
        <w:t xml:space="preserve">(“BAM”) will issue its Municipal Bond Insurance Policy (the “Policy”) for the Bonds maturing on </w:t>
      </w:r>
      <w:r>
        <w:rPr>
          <w:u w:val="single"/>
        </w:rPr>
        <w:tab/>
      </w:r>
      <w:r>
        <w:rPr>
          <w:u w:val="single"/>
        </w:rPr>
        <w:tab/>
      </w:r>
      <w:r>
        <w:t xml:space="preserve"> of the years </w:t>
      </w:r>
      <w:r>
        <w:rPr>
          <w:u w:val="single"/>
        </w:rPr>
        <w:tab/>
      </w:r>
      <w:r>
        <w:rPr>
          <w:u w:val="single"/>
        </w:rPr>
        <w:tab/>
      </w:r>
      <w:r>
        <w:t xml:space="preserve"> through </w:t>
      </w:r>
      <w:r>
        <w:rPr>
          <w:u w:val="single"/>
        </w:rPr>
        <w:tab/>
      </w:r>
      <w:r>
        <w:rPr>
          <w:u w:val="single"/>
        </w:rPr>
        <w:tab/>
      </w:r>
      <w:r>
        <w:t>, inclusive, with CUSIP #’s____ (collectively, the “Insured Bonds”).  The Policy guarantees the scheduled payment of principal of and interest on the Insured Bonds when due as set forth in the form of the Policy included as an exhibit to this Official Statement</w:t>
      </w:r>
      <w:r>
        <w:rPr>
          <w:i/>
        </w:rPr>
        <w:t>.</w:t>
      </w:r>
    </w:p>
    <w:p w14:paraId="3AC44B62" w14:textId="77777777" w:rsidR="003C1C35" w:rsidRDefault="003C1C35">
      <w:pPr>
        <w:pStyle w:val="5hanging"/>
      </w:pPr>
      <w:r>
        <w:t>3.</w:t>
      </w:r>
      <w:r>
        <w:tab/>
      </w:r>
      <w:r>
        <w:rPr>
          <w:b/>
        </w:rPr>
        <w:t>CERTIFICATES OR NOTES</w:t>
      </w:r>
      <w:r>
        <w:t>:</w:t>
      </w:r>
    </w:p>
    <w:p w14:paraId="178CBACE" w14:textId="77777777" w:rsidR="003C1C35" w:rsidRDefault="003C1C35">
      <w:pPr>
        <w:pStyle w:val="O-Indent1"/>
        <w:jc w:val="both"/>
      </w:pPr>
      <w:r>
        <w:t xml:space="preserve">Change all references from the Bonds to Certificates or Notes wherever necessary, but </w:t>
      </w:r>
      <w:r>
        <w:rPr>
          <w:b/>
          <w:u w:val="single"/>
        </w:rPr>
        <w:t>DO NOT</w:t>
      </w:r>
      <w:r>
        <w:t xml:space="preserve"> change the reference to the policy from Municipal Bond Insurance Policy.</w:t>
      </w:r>
    </w:p>
    <w:p w14:paraId="0CE74043" w14:textId="77777777" w:rsidR="003C1C35" w:rsidRDefault="003C1C35">
      <w:pPr>
        <w:pBdr>
          <w:bottom w:val="double" w:sz="12" w:space="1" w:color="auto"/>
        </w:pBdr>
        <w:spacing w:line="240" w:lineRule="atLeast"/>
        <w:rPr>
          <w:b/>
        </w:rPr>
      </w:pPr>
    </w:p>
    <w:p w14:paraId="1E991280" w14:textId="77777777" w:rsidR="003C1C35" w:rsidRDefault="003C1C35">
      <w:pPr>
        <w:spacing w:after="240"/>
      </w:pPr>
    </w:p>
    <w:p w14:paraId="716768E7" w14:textId="77777777" w:rsidR="003C1C35" w:rsidRDefault="003C1C35">
      <w:pPr>
        <w:pStyle w:val="O-TITLECENTEREDB"/>
        <w:spacing w:after="480"/>
        <w:rPr>
          <w:b w:val="0"/>
        </w:rPr>
      </w:pPr>
      <w:r>
        <w:t>TO BE PRINTED ON THE INSIDE COVER OF OFFICIAL STATEMENT</w:t>
      </w:r>
      <w:r>
        <w:br/>
        <w:t>AS PART OF THE DISCLAIMER STATEMENT:</w:t>
      </w:r>
    </w:p>
    <w:p w14:paraId="27304CCC" w14:textId="77777777" w:rsidR="00820452" w:rsidRDefault="003C1C35" w:rsidP="00820452">
      <w:pPr>
        <w:pStyle w:val="O-BodyTextJ"/>
      </w:pPr>
      <w:r>
        <w:rPr>
          <w:szCs w:val="22"/>
        </w:rPr>
        <w:t xml:space="preserve">Build America Mutual Assurance Company (“BAM”) </w:t>
      </w:r>
      <w:r>
        <w:t xml:space="preserve">makes no representation regarding the Bonds or the advisability of investing in the Bonds.  In addition, BAM has not independently verified, makes no representation regarding, and does not accept any responsibility for the accuracy or completeness of this Official Statement or any information or disclosure contained herein, or omitted </w:t>
      </w:r>
      <w:proofErr w:type="spellStart"/>
      <w:r>
        <w:t>herefrom</w:t>
      </w:r>
      <w:proofErr w:type="spellEnd"/>
      <w:r>
        <w:t>, other than with respect to the accuracy of the information regarding BAM, supplied by BAM and presented under the heading “Bond Insurance” and “Exhibit __ - Specimen Municipal Bond Insurance Policy”.</w:t>
      </w:r>
    </w:p>
    <w:p w14:paraId="02FEF0BA" w14:textId="77777777" w:rsidR="00820452" w:rsidRPr="00F60038" w:rsidRDefault="00820452" w:rsidP="00820452">
      <w:pPr>
        <w:pStyle w:val="O-BodyTextJ"/>
        <w:rPr>
          <w:b/>
        </w:rPr>
      </w:pPr>
      <w:r>
        <w:rPr>
          <w:b/>
        </w:rPr>
        <w:t xml:space="preserve"> </w:t>
      </w:r>
    </w:p>
    <w:p w14:paraId="0965AF0B" w14:textId="77777777" w:rsidR="00820452" w:rsidRDefault="00820452" w:rsidP="00F60038">
      <w:pPr>
        <w:jc w:val="right"/>
        <w:rPr>
          <w:b/>
        </w:rPr>
      </w:pPr>
    </w:p>
    <w:p w14:paraId="1CF8F791" w14:textId="77777777" w:rsidR="00820452" w:rsidRDefault="00820452" w:rsidP="00F60038">
      <w:pPr>
        <w:jc w:val="right"/>
        <w:rPr>
          <w:b/>
        </w:rPr>
      </w:pPr>
    </w:p>
    <w:p w14:paraId="163E337C" w14:textId="77777777" w:rsidR="000037AF" w:rsidRDefault="000037AF" w:rsidP="00F60038">
      <w:pPr>
        <w:jc w:val="right"/>
        <w:rPr>
          <w:b/>
        </w:rPr>
      </w:pPr>
    </w:p>
    <w:p w14:paraId="6B49E104" w14:textId="77777777" w:rsidR="00820452" w:rsidRDefault="00820452" w:rsidP="00F60038">
      <w:pPr>
        <w:jc w:val="right"/>
        <w:rPr>
          <w:b/>
        </w:rPr>
      </w:pPr>
    </w:p>
    <w:p w14:paraId="0C4A4B28" w14:textId="77777777" w:rsidR="00820452" w:rsidRDefault="00820452" w:rsidP="00F60038">
      <w:pPr>
        <w:jc w:val="right"/>
        <w:rPr>
          <w:b/>
        </w:rPr>
      </w:pPr>
    </w:p>
    <w:p w14:paraId="19320098" w14:textId="77777777" w:rsidR="00820452" w:rsidRDefault="00820452" w:rsidP="00F60038">
      <w:pPr>
        <w:jc w:val="right"/>
        <w:rPr>
          <w:b/>
        </w:rPr>
      </w:pPr>
    </w:p>
    <w:p w14:paraId="1338A48E" w14:textId="27B1D755" w:rsidR="005E6973" w:rsidRDefault="005E6973" w:rsidP="0063763C">
      <w:pPr>
        <w:jc w:val="right"/>
        <w:rPr>
          <w:b/>
        </w:rPr>
      </w:pPr>
    </w:p>
    <w:sectPr w:rsidR="005E6973" w:rsidSect="00062D62">
      <w:footerReference w:type="default" r:id="rId12"/>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D5AF0" w14:textId="77777777" w:rsidR="00062D62" w:rsidRDefault="00062D62">
      <w:r>
        <w:separator/>
      </w:r>
    </w:p>
  </w:endnote>
  <w:endnote w:type="continuationSeparator" w:id="0">
    <w:p w14:paraId="11DB5C72" w14:textId="77777777" w:rsidR="00062D62" w:rsidRDefault="00062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C41E9" w14:textId="77777777" w:rsidR="00B73BBD" w:rsidRPr="00763B6D" w:rsidRDefault="00B73BBD" w:rsidP="00EF580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DAFA1" w14:textId="77777777" w:rsidR="00062D62" w:rsidRDefault="00062D62">
      <w:r>
        <w:separator/>
      </w:r>
    </w:p>
  </w:footnote>
  <w:footnote w:type="continuationSeparator" w:id="0">
    <w:p w14:paraId="669E61E8" w14:textId="77777777" w:rsidR="00062D62" w:rsidRDefault="00062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D0FF9" w14:textId="77777777" w:rsidR="00B73BBD" w:rsidRDefault="00B73BBD">
    <w:pPr>
      <w:tabs>
        <w:tab w:val="center" w:pos="4320"/>
        <w:tab w:val="right" w:pos="864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BC2D1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FF79B6"/>
    <w:multiLevelType w:val="singleLevel"/>
    <w:tmpl w:val="F404C5B2"/>
    <w:lvl w:ilvl="0">
      <w:start w:val="2"/>
      <w:numFmt w:val="decimal"/>
      <w:lvlText w:val="%1."/>
      <w:lvlJc w:val="left"/>
      <w:pPr>
        <w:tabs>
          <w:tab w:val="num" w:pos="540"/>
        </w:tabs>
        <w:ind w:left="540" w:hanging="540"/>
      </w:pPr>
      <w:rPr>
        <w:rFonts w:hint="default"/>
      </w:rPr>
    </w:lvl>
  </w:abstractNum>
  <w:abstractNum w:abstractNumId="3" w15:restartNumberingAfterBreak="0">
    <w:nsid w:val="090A7154"/>
    <w:multiLevelType w:val="singleLevel"/>
    <w:tmpl w:val="0218B316"/>
    <w:lvl w:ilvl="0">
      <w:start w:val="1"/>
      <w:numFmt w:val="decimal"/>
      <w:lvlText w:val=""/>
      <w:lvlJc w:val="left"/>
      <w:pPr>
        <w:tabs>
          <w:tab w:val="num" w:pos="360"/>
        </w:tabs>
        <w:ind w:left="360" w:hanging="360"/>
      </w:pPr>
      <w:rPr>
        <w:rFonts w:ascii="Times New Roman" w:hAnsi="Times New Roman" w:cs="Times New Roman" w:hint="default"/>
      </w:rPr>
    </w:lvl>
  </w:abstractNum>
  <w:abstractNum w:abstractNumId="4" w15:restartNumberingAfterBreak="0">
    <w:nsid w:val="0B027E4F"/>
    <w:multiLevelType w:val="hybridMultilevel"/>
    <w:tmpl w:val="E43A0EE2"/>
    <w:lvl w:ilvl="0" w:tplc="059A46D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BB67812"/>
    <w:multiLevelType w:val="hybridMultilevel"/>
    <w:tmpl w:val="46CEA6B8"/>
    <w:lvl w:ilvl="0" w:tplc="F1F6EAD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440C1F"/>
    <w:multiLevelType w:val="multilevel"/>
    <w:tmpl w:val="D47646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296"/>
        </w:tabs>
        <w:ind w:left="936" w:firstLine="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16381050"/>
    <w:multiLevelType w:val="singleLevel"/>
    <w:tmpl w:val="EACACBBA"/>
    <w:lvl w:ilvl="0">
      <w:start w:val="1"/>
      <w:numFmt w:val="decimal"/>
      <w:lvlText w:val="%1."/>
      <w:lvlJc w:val="left"/>
      <w:pPr>
        <w:tabs>
          <w:tab w:val="num" w:pos="2160"/>
        </w:tabs>
        <w:ind w:left="2160" w:hanging="720"/>
      </w:pPr>
      <w:rPr>
        <w:rFonts w:ascii="Helvetica" w:hAnsi="Helvetica" w:hint="default"/>
      </w:rPr>
    </w:lvl>
  </w:abstractNum>
  <w:abstractNum w:abstractNumId="8" w15:restartNumberingAfterBreak="0">
    <w:nsid w:val="16A14B79"/>
    <w:multiLevelType w:val="hybridMultilevel"/>
    <w:tmpl w:val="76727064"/>
    <w:lvl w:ilvl="0" w:tplc="36A260E4">
      <w:start w:val="2"/>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7AC4A77"/>
    <w:multiLevelType w:val="hybridMultilevel"/>
    <w:tmpl w:val="FD3A5DA0"/>
    <w:lvl w:ilvl="0" w:tplc="B4AA77DA">
      <w:start w:val="1"/>
      <w:numFmt w:val="decimal"/>
      <w:lvlText w:val="%1."/>
      <w:lvlJc w:val="left"/>
      <w:pPr>
        <w:tabs>
          <w:tab w:val="num" w:pos="1440"/>
        </w:tabs>
        <w:ind w:left="1440" w:hanging="720"/>
      </w:pPr>
      <w:rPr>
        <w:rFonts w:ascii="Helvetica" w:hAnsi="Helvetica" w:hint="default"/>
      </w:r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7F66A3C"/>
    <w:multiLevelType w:val="singleLevel"/>
    <w:tmpl w:val="BB90328C"/>
    <w:lvl w:ilvl="0">
      <w:start w:val="1"/>
      <w:numFmt w:val="decimal"/>
      <w:lvlText w:val="%1."/>
      <w:lvlJc w:val="left"/>
      <w:pPr>
        <w:tabs>
          <w:tab w:val="num" w:pos="763"/>
        </w:tabs>
        <w:ind w:left="763" w:hanging="763"/>
      </w:pPr>
      <w:rPr>
        <w:b/>
        <w:i w:val="0"/>
      </w:rPr>
    </w:lvl>
  </w:abstractNum>
  <w:abstractNum w:abstractNumId="11" w15:restartNumberingAfterBreak="0">
    <w:nsid w:val="19BA176E"/>
    <w:multiLevelType w:val="hybridMultilevel"/>
    <w:tmpl w:val="B644007C"/>
    <w:lvl w:ilvl="0" w:tplc="FD02B942">
      <w:start w:val="1"/>
      <w:numFmt w:val="decimal"/>
      <w:lvlText w:val="%1."/>
      <w:lvlJc w:val="left"/>
      <w:pPr>
        <w:tabs>
          <w:tab w:val="num" w:pos="1440"/>
        </w:tabs>
        <w:ind w:left="1440" w:hanging="720"/>
      </w:pPr>
      <w:rPr>
        <w:rFonts w:hint="default"/>
        <w:b w:val="0"/>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1447AD"/>
    <w:multiLevelType w:val="singleLevel"/>
    <w:tmpl w:val="F2542A62"/>
    <w:lvl w:ilvl="0">
      <w:start w:val="1"/>
      <w:numFmt w:val="bullet"/>
      <w:pStyle w:val="O-Bullet"/>
      <w:lvlText w:val=""/>
      <w:lvlJc w:val="left"/>
      <w:pPr>
        <w:tabs>
          <w:tab w:val="num" w:pos="360"/>
        </w:tabs>
        <w:ind w:left="360" w:hanging="360"/>
      </w:pPr>
      <w:rPr>
        <w:rFonts w:ascii="Symbol" w:hAnsi="Symbol" w:hint="default"/>
      </w:rPr>
    </w:lvl>
  </w:abstractNum>
  <w:abstractNum w:abstractNumId="13" w15:restartNumberingAfterBreak="0">
    <w:nsid w:val="1EA139EF"/>
    <w:multiLevelType w:val="singleLevel"/>
    <w:tmpl w:val="D17ADAEE"/>
    <w:lvl w:ilvl="0">
      <w:start w:val="1"/>
      <w:numFmt w:val="lowerRoman"/>
      <w:lvlText w:val="(%1)"/>
      <w:lvlJc w:val="left"/>
      <w:pPr>
        <w:tabs>
          <w:tab w:val="num" w:pos="720"/>
        </w:tabs>
        <w:ind w:left="360" w:hanging="360"/>
      </w:pPr>
    </w:lvl>
  </w:abstractNum>
  <w:abstractNum w:abstractNumId="14" w15:restartNumberingAfterBreak="0">
    <w:nsid w:val="234B2ECD"/>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23B04D4F"/>
    <w:multiLevelType w:val="singleLevel"/>
    <w:tmpl w:val="09520504"/>
    <w:lvl w:ilvl="0">
      <w:start w:val="1"/>
      <w:numFmt w:val="decimal"/>
      <w:lvlText w:val="%1."/>
      <w:legacy w:legacy="1" w:legacySpace="0" w:legacyIndent="360"/>
      <w:lvlJc w:val="left"/>
      <w:pPr>
        <w:ind w:left="720" w:hanging="360"/>
      </w:pPr>
    </w:lvl>
  </w:abstractNum>
  <w:abstractNum w:abstractNumId="16" w15:restartNumberingAfterBreak="0">
    <w:nsid w:val="24464C49"/>
    <w:multiLevelType w:val="singleLevel"/>
    <w:tmpl w:val="925C636A"/>
    <w:lvl w:ilvl="0">
      <w:start w:val="3"/>
      <w:numFmt w:val="decimal"/>
      <w:lvlText w:val="%1."/>
      <w:lvlJc w:val="left"/>
      <w:pPr>
        <w:tabs>
          <w:tab w:val="num" w:pos="540"/>
        </w:tabs>
        <w:ind w:left="540" w:hanging="540"/>
      </w:pPr>
      <w:rPr>
        <w:rFonts w:hint="default"/>
      </w:rPr>
    </w:lvl>
  </w:abstractNum>
  <w:abstractNum w:abstractNumId="17" w15:restartNumberingAfterBreak="0">
    <w:nsid w:val="252E21C6"/>
    <w:multiLevelType w:val="hybridMultilevel"/>
    <w:tmpl w:val="0BECD0BE"/>
    <w:lvl w:ilvl="0" w:tplc="834ED54C">
      <w:start w:val="1"/>
      <w:numFmt w:val="bullet"/>
      <w:pStyle w:val="O-Bullet1"/>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FA4AE6"/>
    <w:multiLevelType w:val="hybridMultilevel"/>
    <w:tmpl w:val="355A138C"/>
    <w:lvl w:ilvl="0" w:tplc="BD04F900">
      <w:start w:val="1"/>
      <w:numFmt w:val="lowerRoman"/>
      <w:lvlText w:val="(%1)"/>
      <w:lvlJc w:val="left"/>
      <w:pPr>
        <w:tabs>
          <w:tab w:val="num" w:pos="909"/>
        </w:tabs>
        <w:ind w:left="909" w:hanging="720"/>
      </w:pPr>
      <w:rPr>
        <w:rFonts w:hint="default"/>
      </w:rPr>
    </w:lvl>
    <w:lvl w:ilvl="1" w:tplc="04090019" w:tentative="1">
      <w:start w:val="1"/>
      <w:numFmt w:val="lowerLetter"/>
      <w:lvlText w:val="%2."/>
      <w:lvlJc w:val="left"/>
      <w:pPr>
        <w:tabs>
          <w:tab w:val="num" w:pos="1269"/>
        </w:tabs>
        <w:ind w:left="1269" w:hanging="360"/>
      </w:pPr>
    </w:lvl>
    <w:lvl w:ilvl="2" w:tplc="0409001B" w:tentative="1">
      <w:start w:val="1"/>
      <w:numFmt w:val="lowerRoman"/>
      <w:lvlText w:val="%3."/>
      <w:lvlJc w:val="right"/>
      <w:pPr>
        <w:tabs>
          <w:tab w:val="num" w:pos="1989"/>
        </w:tabs>
        <w:ind w:left="1989" w:hanging="180"/>
      </w:pPr>
    </w:lvl>
    <w:lvl w:ilvl="3" w:tplc="0409000F" w:tentative="1">
      <w:start w:val="1"/>
      <w:numFmt w:val="decimal"/>
      <w:lvlText w:val="%4."/>
      <w:lvlJc w:val="left"/>
      <w:pPr>
        <w:tabs>
          <w:tab w:val="num" w:pos="2709"/>
        </w:tabs>
        <w:ind w:left="2709" w:hanging="360"/>
      </w:pPr>
    </w:lvl>
    <w:lvl w:ilvl="4" w:tplc="04090019" w:tentative="1">
      <w:start w:val="1"/>
      <w:numFmt w:val="lowerLetter"/>
      <w:lvlText w:val="%5."/>
      <w:lvlJc w:val="left"/>
      <w:pPr>
        <w:tabs>
          <w:tab w:val="num" w:pos="3429"/>
        </w:tabs>
        <w:ind w:left="3429" w:hanging="360"/>
      </w:pPr>
    </w:lvl>
    <w:lvl w:ilvl="5" w:tplc="0409001B" w:tentative="1">
      <w:start w:val="1"/>
      <w:numFmt w:val="lowerRoman"/>
      <w:lvlText w:val="%6."/>
      <w:lvlJc w:val="right"/>
      <w:pPr>
        <w:tabs>
          <w:tab w:val="num" w:pos="4149"/>
        </w:tabs>
        <w:ind w:left="4149" w:hanging="180"/>
      </w:pPr>
    </w:lvl>
    <w:lvl w:ilvl="6" w:tplc="0409000F" w:tentative="1">
      <w:start w:val="1"/>
      <w:numFmt w:val="decimal"/>
      <w:lvlText w:val="%7."/>
      <w:lvlJc w:val="left"/>
      <w:pPr>
        <w:tabs>
          <w:tab w:val="num" w:pos="4869"/>
        </w:tabs>
        <w:ind w:left="4869" w:hanging="360"/>
      </w:pPr>
    </w:lvl>
    <w:lvl w:ilvl="7" w:tplc="04090019" w:tentative="1">
      <w:start w:val="1"/>
      <w:numFmt w:val="lowerLetter"/>
      <w:lvlText w:val="%8."/>
      <w:lvlJc w:val="left"/>
      <w:pPr>
        <w:tabs>
          <w:tab w:val="num" w:pos="5589"/>
        </w:tabs>
        <w:ind w:left="5589" w:hanging="360"/>
      </w:pPr>
    </w:lvl>
    <w:lvl w:ilvl="8" w:tplc="0409001B" w:tentative="1">
      <w:start w:val="1"/>
      <w:numFmt w:val="lowerRoman"/>
      <w:lvlText w:val="%9."/>
      <w:lvlJc w:val="right"/>
      <w:pPr>
        <w:tabs>
          <w:tab w:val="num" w:pos="6309"/>
        </w:tabs>
        <w:ind w:left="6309" w:hanging="180"/>
      </w:pPr>
    </w:lvl>
  </w:abstractNum>
  <w:abstractNum w:abstractNumId="19" w15:restartNumberingAfterBreak="0">
    <w:nsid w:val="2F690C01"/>
    <w:multiLevelType w:val="hybridMultilevel"/>
    <w:tmpl w:val="3106F84A"/>
    <w:lvl w:ilvl="0" w:tplc="B6B4B7EE">
      <w:start w:val="1"/>
      <w:numFmt w:val="decimal"/>
      <w:lvlText w:val="%1."/>
      <w:lvlJc w:val="left"/>
      <w:pPr>
        <w:tabs>
          <w:tab w:val="num" w:pos="1440"/>
        </w:tabs>
        <w:ind w:left="1440" w:hanging="72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A4307D"/>
    <w:multiLevelType w:val="multilevel"/>
    <w:tmpl w:val="E5D80C30"/>
    <w:lvl w:ilvl="0">
      <w:start w:val="1"/>
      <w:numFmt w:val="decimal"/>
      <w:lvlText w:val="%1."/>
      <w:legacy w:legacy="1" w:legacySpace="0" w:legacyIndent="432"/>
      <w:lvlJc w:val="left"/>
      <w:pPr>
        <w:ind w:left="432" w:hanging="432"/>
      </w:pPr>
    </w:lvl>
    <w:lvl w:ilvl="1">
      <w:start w:val="1"/>
      <w:numFmt w:val="lowerLetter"/>
      <w:lvlText w:val="%2)"/>
      <w:legacy w:legacy="1" w:legacySpace="0" w:legacyIndent="432"/>
      <w:lvlJc w:val="left"/>
      <w:pPr>
        <w:ind w:left="864" w:hanging="432"/>
      </w:pPr>
    </w:lvl>
    <w:lvl w:ilvl="2">
      <w:start w:val="1"/>
      <w:numFmt w:val="lowerRoman"/>
      <w:lvlText w:val="%3)"/>
      <w:legacy w:legacy="1" w:legacySpace="0" w:legacyIndent="720"/>
      <w:lvlJc w:val="left"/>
      <w:pPr>
        <w:ind w:left="1584" w:hanging="720"/>
      </w:pPr>
    </w:lvl>
    <w:lvl w:ilvl="3">
      <w:start w:val="1"/>
      <w:numFmt w:val="lowerLetter"/>
      <w:lvlText w:val="%4)"/>
      <w:legacy w:legacy="1" w:legacySpace="0" w:legacyIndent="720"/>
      <w:lvlJc w:val="left"/>
      <w:pPr>
        <w:ind w:left="2304" w:hanging="720"/>
      </w:pPr>
    </w:lvl>
    <w:lvl w:ilvl="4">
      <w:start w:val="1"/>
      <w:numFmt w:val="decimal"/>
      <w:lvlText w:val="(%5)"/>
      <w:legacy w:legacy="1" w:legacySpace="0" w:legacyIndent="720"/>
      <w:lvlJc w:val="left"/>
      <w:pPr>
        <w:ind w:left="3024" w:hanging="720"/>
      </w:pPr>
    </w:lvl>
    <w:lvl w:ilvl="5">
      <w:start w:val="1"/>
      <w:numFmt w:val="lowerLetter"/>
      <w:lvlText w:val="(%6)"/>
      <w:legacy w:legacy="1" w:legacySpace="0" w:legacyIndent="720"/>
      <w:lvlJc w:val="left"/>
      <w:pPr>
        <w:ind w:left="3744" w:hanging="720"/>
      </w:pPr>
    </w:lvl>
    <w:lvl w:ilvl="6">
      <w:start w:val="1"/>
      <w:numFmt w:val="lowerRoman"/>
      <w:lvlText w:val="(%7)"/>
      <w:legacy w:legacy="1" w:legacySpace="0" w:legacyIndent="720"/>
      <w:lvlJc w:val="left"/>
      <w:pPr>
        <w:ind w:left="4464" w:hanging="720"/>
      </w:pPr>
    </w:lvl>
    <w:lvl w:ilvl="7">
      <w:start w:val="1"/>
      <w:numFmt w:val="lowerLetter"/>
      <w:lvlText w:val="(%8)"/>
      <w:legacy w:legacy="1" w:legacySpace="0" w:legacyIndent="720"/>
      <w:lvlJc w:val="left"/>
      <w:pPr>
        <w:ind w:left="5184" w:hanging="720"/>
      </w:pPr>
    </w:lvl>
    <w:lvl w:ilvl="8">
      <w:start w:val="1"/>
      <w:numFmt w:val="lowerRoman"/>
      <w:lvlText w:val="(%9)"/>
      <w:legacy w:legacy="1" w:legacySpace="0" w:legacyIndent="720"/>
      <w:lvlJc w:val="left"/>
      <w:pPr>
        <w:ind w:left="5904" w:hanging="720"/>
      </w:pPr>
    </w:lvl>
  </w:abstractNum>
  <w:abstractNum w:abstractNumId="21" w15:restartNumberingAfterBreak="0">
    <w:nsid w:val="31A72185"/>
    <w:multiLevelType w:val="hybridMultilevel"/>
    <w:tmpl w:val="F7EA6CF0"/>
    <w:lvl w:ilvl="0" w:tplc="B6D6BAE4">
      <w:start w:val="1"/>
      <w:numFmt w:val="decimal"/>
      <w:lvlText w:val="%1."/>
      <w:lvlJc w:val="left"/>
      <w:pPr>
        <w:tabs>
          <w:tab w:val="num" w:pos="2520"/>
        </w:tabs>
        <w:ind w:left="2520" w:hanging="72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2E36857"/>
    <w:multiLevelType w:val="hybridMultilevel"/>
    <w:tmpl w:val="B614974E"/>
    <w:lvl w:ilvl="0" w:tplc="CDFCE2FC">
      <w:start w:val="1"/>
      <w:numFmt w:val="bullet"/>
      <w:pStyle w:val="O-Bullet5"/>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BA3E09"/>
    <w:multiLevelType w:val="singleLevel"/>
    <w:tmpl w:val="D17ADAEE"/>
    <w:lvl w:ilvl="0">
      <w:start w:val="1"/>
      <w:numFmt w:val="lowerRoman"/>
      <w:lvlText w:val="(%1)"/>
      <w:lvlJc w:val="left"/>
      <w:pPr>
        <w:tabs>
          <w:tab w:val="num" w:pos="720"/>
        </w:tabs>
        <w:ind w:left="360" w:hanging="360"/>
      </w:pPr>
    </w:lvl>
  </w:abstractNum>
  <w:abstractNum w:abstractNumId="24" w15:restartNumberingAfterBreak="0">
    <w:nsid w:val="415F0B50"/>
    <w:multiLevelType w:val="hybridMultilevel"/>
    <w:tmpl w:val="6C9C2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906BDB"/>
    <w:multiLevelType w:val="multilevel"/>
    <w:tmpl w:val="1F289A00"/>
    <w:lvl w:ilvl="0">
      <w:start w:val="1"/>
      <w:numFmt w:val="lowerLetter"/>
      <w:lvlText w:val="(%1)"/>
      <w:legacy w:legacy="1" w:legacySpace="0" w:legacyIndent="576"/>
      <w:lvlJc w:val="left"/>
      <w:pPr>
        <w:ind w:left="576" w:hanging="576"/>
      </w:pPr>
    </w:lvl>
    <w:lvl w:ilvl="1">
      <w:start w:val="1"/>
      <w:numFmt w:val="lowerRoman"/>
      <w:lvlText w:val="(%2)"/>
      <w:legacy w:legacy="1" w:legacySpace="0" w:legacyIndent="864"/>
      <w:lvlJc w:val="left"/>
      <w:pPr>
        <w:ind w:left="1440" w:hanging="864"/>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6" w15:restartNumberingAfterBreak="0">
    <w:nsid w:val="491A2BE4"/>
    <w:multiLevelType w:val="hybridMultilevel"/>
    <w:tmpl w:val="EB466CBC"/>
    <w:lvl w:ilvl="0" w:tplc="0409000F">
      <w:start w:val="1"/>
      <w:numFmt w:val="decimal"/>
      <w:lvlText w:val="%1."/>
      <w:lvlJc w:val="left"/>
      <w:pPr>
        <w:tabs>
          <w:tab w:val="num" w:pos="1980"/>
        </w:tabs>
        <w:ind w:left="198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7" w15:restartNumberingAfterBreak="0">
    <w:nsid w:val="4DFE5C30"/>
    <w:multiLevelType w:val="hybridMultilevel"/>
    <w:tmpl w:val="CDB88A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9DF0CF1"/>
    <w:multiLevelType w:val="singleLevel"/>
    <w:tmpl w:val="7BD4EC3C"/>
    <w:lvl w:ilvl="0">
      <w:start w:val="1"/>
      <w:numFmt w:val="lowerLetter"/>
      <w:lvlText w:val="(%1)"/>
      <w:lvlJc w:val="left"/>
      <w:pPr>
        <w:tabs>
          <w:tab w:val="num" w:pos="360"/>
        </w:tabs>
        <w:ind w:left="360" w:hanging="360"/>
      </w:pPr>
    </w:lvl>
  </w:abstractNum>
  <w:abstractNum w:abstractNumId="29" w15:restartNumberingAfterBreak="0">
    <w:nsid w:val="5A9251C4"/>
    <w:multiLevelType w:val="singleLevel"/>
    <w:tmpl w:val="09520504"/>
    <w:lvl w:ilvl="0">
      <w:start w:val="1"/>
      <w:numFmt w:val="decimal"/>
      <w:lvlText w:val="%1."/>
      <w:legacy w:legacy="1" w:legacySpace="0" w:legacyIndent="360"/>
      <w:lvlJc w:val="left"/>
      <w:pPr>
        <w:ind w:left="720" w:hanging="360"/>
      </w:pPr>
    </w:lvl>
  </w:abstractNum>
  <w:abstractNum w:abstractNumId="30" w15:restartNumberingAfterBreak="0">
    <w:nsid w:val="5A9B2BEB"/>
    <w:multiLevelType w:val="singleLevel"/>
    <w:tmpl w:val="0DF0F3F6"/>
    <w:lvl w:ilvl="0">
      <w:start w:val="3"/>
      <w:numFmt w:val="decimal"/>
      <w:lvlText w:val="%1."/>
      <w:lvlJc w:val="left"/>
      <w:pPr>
        <w:tabs>
          <w:tab w:val="num" w:pos="540"/>
        </w:tabs>
        <w:ind w:left="540" w:hanging="540"/>
      </w:pPr>
      <w:rPr>
        <w:rFonts w:hint="default"/>
      </w:rPr>
    </w:lvl>
  </w:abstractNum>
  <w:abstractNum w:abstractNumId="31" w15:restartNumberingAfterBreak="0">
    <w:nsid w:val="5E507864"/>
    <w:multiLevelType w:val="singleLevel"/>
    <w:tmpl w:val="09520504"/>
    <w:lvl w:ilvl="0">
      <w:start w:val="1"/>
      <w:numFmt w:val="decimal"/>
      <w:lvlText w:val="%1."/>
      <w:legacy w:legacy="1" w:legacySpace="0" w:legacyIndent="360"/>
      <w:lvlJc w:val="left"/>
      <w:pPr>
        <w:ind w:left="1080" w:hanging="360"/>
      </w:pPr>
    </w:lvl>
  </w:abstractNum>
  <w:abstractNum w:abstractNumId="32" w15:restartNumberingAfterBreak="0">
    <w:nsid w:val="5EBF1359"/>
    <w:multiLevelType w:val="singleLevel"/>
    <w:tmpl w:val="CD2CA348"/>
    <w:lvl w:ilvl="0">
      <w:start w:val="3"/>
      <w:numFmt w:val="decimal"/>
      <w:lvlText w:val="%1."/>
      <w:lvlJc w:val="left"/>
      <w:pPr>
        <w:tabs>
          <w:tab w:val="num" w:pos="540"/>
        </w:tabs>
        <w:ind w:left="540" w:hanging="540"/>
      </w:pPr>
      <w:rPr>
        <w:rFonts w:hint="default"/>
      </w:rPr>
    </w:lvl>
  </w:abstractNum>
  <w:abstractNum w:abstractNumId="33" w15:restartNumberingAfterBreak="0">
    <w:nsid w:val="62F04DAA"/>
    <w:multiLevelType w:val="singleLevel"/>
    <w:tmpl w:val="13E24946"/>
    <w:lvl w:ilvl="0">
      <w:start w:val="26"/>
      <w:numFmt w:val="lowerLetter"/>
      <w:lvlText w:val="(%1)"/>
      <w:lvlJc w:val="left"/>
      <w:pPr>
        <w:tabs>
          <w:tab w:val="num" w:pos="720"/>
        </w:tabs>
        <w:ind w:left="720" w:hanging="720"/>
      </w:pPr>
      <w:rPr>
        <w:rFonts w:hint="default"/>
      </w:rPr>
    </w:lvl>
  </w:abstractNum>
  <w:abstractNum w:abstractNumId="34" w15:restartNumberingAfterBreak="0">
    <w:nsid w:val="66620F69"/>
    <w:multiLevelType w:val="singleLevel"/>
    <w:tmpl w:val="D18687A0"/>
    <w:lvl w:ilvl="0">
      <w:start w:val="1"/>
      <w:numFmt w:val="decimal"/>
      <w:lvlText w:val="%1."/>
      <w:legacy w:legacy="1" w:legacySpace="0" w:legacyIndent="360"/>
      <w:lvlJc w:val="left"/>
      <w:pPr>
        <w:ind w:left="1080" w:hanging="360"/>
      </w:pPr>
    </w:lvl>
  </w:abstractNum>
  <w:abstractNum w:abstractNumId="35" w15:restartNumberingAfterBreak="0">
    <w:nsid w:val="6A051E5B"/>
    <w:multiLevelType w:val="hybridMultilevel"/>
    <w:tmpl w:val="7FEC10D8"/>
    <w:lvl w:ilvl="0" w:tplc="F404C5B2">
      <w:start w:val="2"/>
      <w:numFmt w:val="decimal"/>
      <w:lvlText w:val="%1."/>
      <w:lvlJc w:val="left"/>
      <w:pPr>
        <w:tabs>
          <w:tab w:val="num" w:pos="540"/>
        </w:tabs>
        <w:ind w:left="54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04E394E"/>
    <w:multiLevelType w:val="hybridMultilevel"/>
    <w:tmpl w:val="5AB8C4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44C6AD8"/>
    <w:multiLevelType w:val="singleLevel"/>
    <w:tmpl w:val="767875A6"/>
    <w:lvl w:ilvl="0">
      <w:start w:val="1"/>
      <w:numFmt w:val="lowerRoman"/>
      <w:lvlText w:val="(%1)"/>
      <w:legacy w:legacy="1" w:legacySpace="0" w:legacyIndent="360"/>
      <w:lvlJc w:val="left"/>
      <w:pPr>
        <w:ind w:left="360" w:hanging="360"/>
      </w:pPr>
    </w:lvl>
  </w:abstractNum>
  <w:abstractNum w:abstractNumId="38" w15:restartNumberingAfterBreak="0">
    <w:nsid w:val="74D737B3"/>
    <w:multiLevelType w:val="singleLevel"/>
    <w:tmpl w:val="FBB26C8C"/>
    <w:lvl w:ilvl="0">
      <w:start w:val="1"/>
      <w:numFmt w:val="decimal"/>
      <w:lvlText w:val="%1."/>
      <w:lvlJc w:val="left"/>
      <w:pPr>
        <w:tabs>
          <w:tab w:val="num" w:pos="1440"/>
        </w:tabs>
        <w:ind w:left="1440" w:hanging="720"/>
      </w:pPr>
    </w:lvl>
  </w:abstractNum>
  <w:abstractNum w:abstractNumId="39" w15:restartNumberingAfterBreak="0">
    <w:nsid w:val="75010A90"/>
    <w:multiLevelType w:val="singleLevel"/>
    <w:tmpl w:val="D2E41FA6"/>
    <w:lvl w:ilvl="0">
      <w:start w:val="6"/>
      <w:numFmt w:val="upperLetter"/>
      <w:lvlText w:val="%1."/>
      <w:lvlJc w:val="left"/>
      <w:pPr>
        <w:tabs>
          <w:tab w:val="num" w:pos="720"/>
        </w:tabs>
        <w:ind w:left="720" w:hanging="720"/>
      </w:pPr>
    </w:lvl>
  </w:abstractNum>
  <w:abstractNum w:abstractNumId="40" w15:restartNumberingAfterBreak="0">
    <w:nsid w:val="76FC62B4"/>
    <w:multiLevelType w:val="singleLevel"/>
    <w:tmpl w:val="A8DA4864"/>
    <w:lvl w:ilvl="0">
      <w:start w:val="1"/>
      <w:numFmt w:val="decimal"/>
      <w:lvlText w:val="%1."/>
      <w:lvlJc w:val="left"/>
      <w:pPr>
        <w:tabs>
          <w:tab w:val="num" w:pos="1440"/>
        </w:tabs>
        <w:ind w:left="1440" w:hanging="720"/>
      </w:pPr>
    </w:lvl>
  </w:abstractNum>
  <w:abstractNum w:abstractNumId="41" w15:restartNumberingAfterBreak="0">
    <w:nsid w:val="7EAC65A5"/>
    <w:multiLevelType w:val="singleLevel"/>
    <w:tmpl w:val="1FB0E3F8"/>
    <w:lvl w:ilvl="0">
      <w:start w:val="2"/>
      <w:numFmt w:val="decimal"/>
      <w:lvlText w:val="%1."/>
      <w:lvlJc w:val="left"/>
      <w:pPr>
        <w:tabs>
          <w:tab w:val="num" w:pos="1440"/>
        </w:tabs>
        <w:ind w:left="1440" w:hanging="720"/>
      </w:pPr>
      <w:rPr>
        <w:rFonts w:hint="default"/>
      </w:rPr>
    </w:lvl>
  </w:abstractNum>
  <w:abstractNum w:abstractNumId="42" w15:restartNumberingAfterBreak="0">
    <w:nsid w:val="7FDE33AE"/>
    <w:multiLevelType w:val="singleLevel"/>
    <w:tmpl w:val="D18687A0"/>
    <w:lvl w:ilvl="0">
      <w:start w:val="1"/>
      <w:numFmt w:val="decimal"/>
      <w:lvlText w:val="%1."/>
      <w:legacy w:legacy="1" w:legacySpace="0" w:legacyIndent="360"/>
      <w:lvlJc w:val="left"/>
      <w:pPr>
        <w:ind w:left="1080" w:hanging="360"/>
      </w:pPr>
    </w:lvl>
  </w:abstractNum>
  <w:num w:numId="1" w16cid:durableId="1531140753">
    <w:abstractNumId w:val="25"/>
  </w:num>
  <w:num w:numId="2" w16cid:durableId="972445270">
    <w:abstractNumId w:val="20"/>
  </w:num>
  <w:num w:numId="3" w16cid:durableId="123735258">
    <w:abstractNumId w:val="37"/>
  </w:num>
  <w:num w:numId="4" w16cid:durableId="2079160210">
    <w:abstractNumId w:val="42"/>
  </w:num>
  <w:num w:numId="5" w16cid:durableId="1659992938">
    <w:abstractNumId w:val="14"/>
  </w:num>
  <w:num w:numId="6" w16cid:durableId="1136722486">
    <w:abstractNumId w:val="13"/>
  </w:num>
  <w:num w:numId="7" w16cid:durableId="1776829896">
    <w:abstractNumId w:val="30"/>
  </w:num>
  <w:num w:numId="8" w16cid:durableId="1854417752">
    <w:abstractNumId w:val="2"/>
  </w:num>
  <w:num w:numId="9" w16cid:durableId="75713403">
    <w:abstractNumId w:val="33"/>
  </w:num>
  <w:num w:numId="10" w16cid:durableId="288979652">
    <w:abstractNumId w:val="34"/>
  </w:num>
  <w:num w:numId="11" w16cid:durableId="1613824497">
    <w:abstractNumId w:val="34"/>
    <w:lvlOverride w:ilvl="0">
      <w:lvl w:ilvl="0">
        <w:start w:val="1"/>
        <w:numFmt w:val="decimal"/>
        <w:lvlText w:val="%1."/>
        <w:legacy w:legacy="1" w:legacySpace="0" w:legacyIndent="360"/>
        <w:lvlJc w:val="left"/>
        <w:pPr>
          <w:ind w:left="1080" w:hanging="360"/>
        </w:pPr>
      </w:lvl>
    </w:lvlOverride>
  </w:num>
  <w:num w:numId="12" w16cid:durableId="767313268">
    <w:abstractNumId w:val="8"/>
  </w:num>
  <w:num w:numId="13" w16cid:durableId="1627083717">
    <w:abstractNumId w:val="41"/>
  </w:num>
  <w:num w:numId="14" w16cid:durableId="1223440041">
    <w:abstractNumId w:val="32"/>
  </w:num>
  <w:num w:numId="15" w16cid:durableId="1672222174">
    <w:abstractNumId w:val="10"/>
  </w:num>
  <w:num w:numId="16" w16cid:durableId="554971957">
    <w:abstractNumId w:val="16"/>
  </w:num>
  <w:num w:numId="17" w16cid:durableId="737443304">
    <w:abstractNumId w:val="7"/>
  </w:num>
  <w:num w:numId="18" w16cid:durableId="994186435">
    <w:abstractNumId w:val="28"/>
  </w:num>
  <w:num w:numId="19" w16cid:durableId="863901172">
    <w:abstractNumId w:val="23"/>
  </w:num>
  <w:num w:numId="20" w16cid:durableId="1373726064">
    <w:abstractNumId w:val="6"/>
  </w:num>
  <w:num w:numId="21" w16cid:durableId="338627114">
    <w:abstractNumId w:val="36"/>
  </w:num>
  <w:num w:numId="22" w16cid:durableId="1329863216">
    <w:abstractNumId w:val="35"/>
  </w:num>
  <w:num w:numId="23" w16cid:durableId="512453051">
    <w:abstractNumId w:val="9"/>
  </w:num>
  <w:num w:numId="24" w16cid:durableId="1724058092">
    <w:abstractNumId w:val="26"/>
  </w:num>
  <w:num w:numId="25" w16cid:durableId="992640009">
    <w:abstractNumId w:val="18"/>
  </w:num>
  <w:num w:numId="26" w16cid:durableId="749735287">
    <w:abstractNumId w:val="1"/>
    <w:lvlOverride w:ilvl="0">
      <w:lvl w:ilvl="0">
        <w:start w:val="1"/>
        <w:numFmt w:val="bullet"/>
        <w:lvlText w:val=""/>
        <w:legacy w:legacy="1" w:legacySpace="0" w:legacyIndent="360"/>
        <w:lvlJc w:val="left"/>
        <w:pPr>
          <w:ind w:left="720" w:hanging="360"/>
        </w:pPr>
        <w:rPr>
          <w:rFonts w:ascii="Symbol" w:hAnsi="Symbol" w:hint="default"/>
        </w:rPr>
      </w:lvl>
    </w:lvlOverride>
  </w:num>
  <w:num w:numId="27" w16cid:durableId="2140608810">
    <w:abstractNumId w:val="15"/>
  </w:num>
  <w:num w:numId="28" w16cid:durableId="1941402443">
    <w:abstractNumId w:val="29"/>
  </w:num>
  <w:num w:numId="29" w16cid:durableId="1711149216">
    <w:abstractNumId w:val="31"/>
  </w:num>
  <w:num w:numId="30" w16cid:durableId="1087117534">
    <w:abstractNumId w:val="4"/>
  </w:num>
  <w:num w:numId="31" w16cid:durableId="2073504192">
    <w:abstractNumId w:val="22"/>
  </w:num>
  <w:num w:numId="32" w16cid:durableId="812060235">
    <w:abstractNumId w:val="17"/>
  </w:num>
  <w:num w:numId="33" w16cid:durableId="1374227529">
    <w:abstractNumId w:val="12"/>
  </w:num>
  <w:num w:numId="34" w16cid:durableId="1727146398">
    <w:abstractNumId w:val="12"/>
  </w:num>
  <w:num w:numId="35" w16cid:durableId="911503859">
    <w:abstractNumId w:val="22"/>
  </w:num>
  <w:num w:numId="36" w16cid:durableId="2087607546">
    <w:abstractNumId w:val="17"/>
  </w:num>
  <w:num w:numId="37" w16cid:durableId="572392412">
    <w:abstractNumId w:val="3"/>
  </w:num>
  <w:num w:numId="38" w16cid:durableId="2023048355">
    <w:abstractNumId w:val="40"/>
  </w:num>
  <w:num w:numId="39" w16cid:durableId="1523547184">
    <w:abstractNumId w:val="38"/>
  </w:num>
  <w:num w:numId="40" w16cid:durableId="1010134054">
    <w:abstractNumId w:val="39"/>
  </w:num>
  <w:num w:numId="41" w16cid:durableId="538902740">
    <w:abstractNumId w:val="21"/>
  </w:num>
  <w:num w:numId="42" w16cid:durableId="1848324143">
    <w:abstractNumId w:val="5"/>
  </w:num>
  <w:num w:numId="43" w16cid:durableId="718171114">
    <w:abstractNumId w:val="11"/>
  </w:num>
  <w:num w:numId="44" w16cid:durableId="536352141">
    <w:abstractNumId w:val="19"/>
  </w:num>
  <w:num w:numId="45" w16cid:durableId="703944804">
    <w:abstractNumId w:val="24"/>
  </w:num>
  <w:num w:numId="46" w16cid:durableId="66613722">
    <w:abstractNumId w:val="27"/>
  </w:num>
  <w:num w:numId="47" w16cid:durableId="545528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6B1"/>
    <w:rsid w:val="000037AF"/>
    <w:rsid w:val="00006352"/>
    <w:rsid w:val="00011130"/>
    <w:rsid w:val="00013CEB"/>
    <w:rsid w:val="000304C8"/>
    <w:rsid w:val="000515CC"/>
    <w:rsid w:val="000560D5"/>
    <w:rsid w:val="00062D62"/>
    <w:rsid w:val="000648E3"/>
    <w:rsid w:val="0007315D"/>
    <w:rsid w:val="000857D6"/>
    <w:rsid w:val="000A1439"/>
    <w:rsid w:val="000A5BBA"/>
    <w:rsid w:val="000F545C"/>
    <w:rsid w:val="00100CD4"/>
    <w:rsid w:val="00113D11"/>
    <w:rsid w:val="001343AE"/>
    <w:rsid w:val="0014444A"/>
    <w:rsid w:val="00150270"/>
    <w:rsid w:val="00154DC5"/>
    <w:rsid w:val="00166CD6"/>
    <w:rsid w:val="00174EC4"/>
    <w:rsid w:val="00181BB7"/>
    <w:rsid w:val="0019048E"/>
    <w:rsid w:val="001A012D"/>
    <w:rsid w:val="001B1406"/>
    <w:rsid w:val="001D122C"/>
    <w:rsid w:val="001E4CF2"/>
    <w:rsid w:val="001F5171"/>
    <w:rsid w:val="001F7D4A"/>
    <w:rsid w:val="002012BE"/>
    <w:rsid w:val="00202791"/>
    <w:rsid w:val="0020498D"/>
    <w:rsid w:val="00210583"/>
    <w:rsid w:val="00212F14"/>
    <w:rsid w:val="0022420A"/>
    <w:rsid w:val="00233B91"/>
    <w:rsid w:val="002443F9"/>
    <w:rsid w:val="00272F05"/>
    <w:rsid w:val="00274254"/>
    <w:rsid w:val="00277EBD"/>
    <w:rsid w:val="002944AA"/>
    <w:rsid w:val="002964D7"/>
    <w:rsid w:val="002C2C8E"/>
    <w:rsid w:val="002E7A1D"/>
    <w:rsid w:val="002F3215"/>
    <w:rsid w:val="002F4344"/>
    <w:rsid w:val="003016F1"/>
    <w:rsid w:val="00327258"/>
    <w:rsid w:val="00332F48"/>
    <w:rsid w:val="00347D1B"/>
    <w:rsid w:val="00354706"/>
    <w:rsid w:val="00356A71"/>
    <w:rsid w:val="00367569"/>
    <w:rsid w:val="0037541A"/>
    <w:rsid w:val="003821AA"/>
    <w:rsid w:val="0038785B"/>
    <w:rsid w:val="003879D0"/>
    <w:rsid w:val="0039171A"/>
    <w:rsid w:val="003B2F7E"/>
    <w:rsid w:val="003C1C35"/>
    <w:rsid w:val="003E27CB"/>
    <w:rsid w:val="003E3E7A"/>
    <w:rsid w:val="003F34AE"/>
    <w:rsid w:val="003F59F2"/>
    <w:rsid w:val="003F69F3"/>
    <w:rsid w:val="00404934"/>
    <w:rsid w:val="00416A8B"/>
    <w:rsid w:val="004275A0"/>
    <w:rsid w:val="00435415"/>
    <w:rsid w:val="00451D49"/>
    <w:rsid w:val="00455991"/>
    <w:rsid w:val="00457191"/>
    <w:rsid w:val="0045786C"/>
    <w:rsid w:val="00462293"/>
    <w:rsid w:val="00470EDC"/>
    <w:rsid w:val="0047589B"/>
    <w:rsid w:val="00481514"/>
    <w:rsid w:val="004849D7"/>
    <w:rsid w:val="00497231"/>
    <w:rsid w:val="004B13C7"/>
    <w:rsid w:val="004C4FDA"/>
    <w:rsid w:val="004E2D64"/>
    <w:rsid w:val="004E7C59"/>
    <w:rsid w:val="004F1435"/>
    <w:rsid w:val="004F163A"/>
    <w:rsid w:val="004F7758"/>
    <w:rsid w:val="0050486C"/>
    <w:rsid w:val="0050733A"/>
    <w:rsid w:val="005173E1"/>
    <w:rsid w:val="00536657"/>
    <w:rsid w:val="00554F2A"/>
    <w:rsid w:val="005651F3"/>
    <w:rsid w:val="005756F7"/>
    <w:rsid w:val="005A0C38"/>
    <w:rsid w:val="005C0AA1"/>
    <w:rsid w:val="005D127A"/>
    <w:rsid w:val="005D16AC"/>
    <w:rsid w:val="005D1CB6"/>
    <w:rsid w:val="005D4A6A"/>
    <w:rsid w:val="005D513F"/>
    <w:rsid w:val="005D6C77"/>
    <w:rsid w:val="005E6973"/>
    <w:rsid w:val="005F64E3"/>
    <w:rsid w:val="00600B00"/>
    <w:rsid w:val="0060347C"/>
    <w:rsid w:val="0063763C"/>
    <w:rsid w:val="006423F7"/>
    <w:rsid w:val="00660FE7"/>
    <w:rsid w:val="00673C8B"/>
    <w:rsid w:val="00674C7A"/>
    <w:rsid w:val="00682E46"/>
    <w:rsid w:val="006958A3"/>
    <w:rsid w:val="006A462A"/>
    <w:rsid w:val="006A597D"/>
    <w:rsid w:val="006B295F"/>
    <w:rsid w:val="006C1398"/>
    <w:rsid w:val="006C52A5"/>
    <w:rsid w:val="006D2394"/>
    <w:rsid w:val="006D4C6B"/>
    <w:rsid w:val="006E2289"/>
    <w:rsid w:val="006E7BA6"/>
    <w:rsid w:val="006F548E"/>
    <w:rsid w:val="007115EC"/>
    <w:rsid w:val="007131E9"/>
    <w:rsid w:val="00722B54"/>
    <w:rsid w:val="00722C62"/>
    <w:rsid w:val="00726022"/>
    <w:rsid w:val="007542DE"/>
    <w:rsid w:val="00784E69"/>
    <w:rsid w:val="00794B67"/>
    <w:rsid w:val="007D3B5C"/>
    <w:rsid w:val="007E0461"/>
    <w:rsid w:val="00800D79"/>
    <w:rsid w:val="00806BCF"/>
    <w:rsid w:val="008072C0"/>
    <w:rsid w:val="00810E74"/>
    <w:rsid w:val="00816A0A"/>
    <w:rsid w:val="00820452"/>
    <w:rsid w:val="00823361"/>
    <w:rsid w:val="008550A7"/>
    <w:rsid w:val="00860D27"/>
    <w:rsid w:val="00870E74"/>
    <w:rsid w:val="008710D5"/>
    <w:rsid w:val="00872E84"/>
    <w:rsid w:val="00875BFB"/>
    <w:rsid w:val="00883065"/>
    <w:rsid w:val="008834DD"/>
    <w:rsid w:val="008A4714"/>
    <w:rsid w:val="008B190B"/>
    <w:rsid w:val="008B623A"/>
    <w:rsid w:val="008C31FC"/>
    <w:rsid w:val="008C7B48"/>
    <w:rsid w:val="008D6FA4"/>
    <w:rsid w:val="008E3FA1"/>
    <w:rsid w:val="008E5E1A"/>
    <w:rsid w:val="00900FAD"/>
    <w:rsid w:val="00910744"/>
    <w:rsid w:val="00913A50"/>
    <w:rsid w:val="0092265F"/>
    <w:rsid w:val="0092315D"/>
    <w:rsid w:val="00933888"/>
    <w:rsid w:val="009374AF"/>
    <w:rsid w:val="00947F84"/>
    <w:rsid w:val="009607FC"/>
    <w:rsid w:val="009618BB"/>
    <w:rsid w:val="00965698"/>
    <w:rsid w:val="009706BC"/>
    <w:rsid w:val="0097134B"/>
    <w:rsid w:val="009806B1"/>
    <w:rsid w:val="009A3DF4"/>
    <w:rsid w:val="009A6610"/>
    <w:rsid w:val="009A7417"/>
    <w:rsid w:val="009C626D"/>
    <w:rsid w:val="009C6336"/>
    <w:rsid w:val="009D2681"/>
    <w:rsid w:val="009D3F7B"/>
    <w:rsid w:val="009D57FA"/>
    <w:rsid w:val="009E00D3"/>
    <w:rsid w:val="009E159E"/>
    <w:rsid w:val="00A01E03"/>
    <w:rsid w:val="00A022D3"/>
    <w:rsid w:val="00A23746"/>
    <w:rsid w:val="00A31048"/>
    <w:rsid w:val="00A710E8"/>
    <w:rsid w:val="00A7197F"/>
    <w:rsid w:val="00A725AD"/>
    <w:rsid w:val="00A72D0C"/>
    <w:rsid w:val="00A7488E"/>
    <w:rsid w:val="00AD50DC"/>
    <w:rsid w:val="00AE0F85"/>
    <w:rsid w:val="00AE4F89"/>
    <w:rsid w:val="00B06267"/>
    <w:rsid w:val="00B161AB"/>
    <w:rsid w:val="00B2270B"/>
    <w:rsid w:val="00B3560C"/>
    <w:rsid w:val="00B35AC9"/>
    <w:rsid w:val="00B41295"/>
    <w:rsid w:val="00B428A9"/>
    <w:rsid w:val="00B47B23"/>
    <w:rsid w:val="00B626FF"/>
    <w:rsid w:val="00B71DAA"/>
    <w:rsid w:val="00B73BBD"/>
    <w:rsid w:val="00B73E24"/>
    <w:rsid w:val="00B97C17"/>
    <w:rsid w:val="00BA36A5"/>
    <w:rsid w:val="00BA41BF"/>
    <w:rsid w:val="00BA5A8B"/>
    <w:rsid w:val="00BD4A57"/>
    <w:rsid w:val="00BE5DC1"/>
    <w:rsid w:val="00BF7D5B"/>
    <w:rsid w:val="00C12471"/>
    <w:rsid w:val="00C20C8E"/>
    <w:rsid w:val="00C217EF"/>
    <w:rsid w:val="00C469AA"/>
    <w:rsid w:val="00C470D0"/>
    <w:rsid w:val="00C521B8"/>
    <w:rsid w:val="00C56360"/>
    <w:rsid w:val="00C64D3F"/>
    <w:rsid w:val="00C7175D"/>
    <w:rsid w:val="00C83A88"/>
    <w:rsid w:val="00C9196B"/>
    <w:rsid w:val="00C93F5B"/>
    <w:rsid w:val="00CA01C1"/>
    <w:rsid w:val="00CB4EC3"/>
    <w:rsid w:val="00CE1614"/>
    <w:rsid w:val="00CF6096"/>
    <w:rsid w:val="00CF7016"/>
    <w:rsid w:val="00D16A14"/>
    <w:rsid w:val="00D30823"/>
    <w:rsid w:val="00D43C35"/>
    <w:rsid w:val="00D4768B"/>
    <w:rsid w:val="00D51272"/>
    <w:rsid w:val="00D612FF"/>
    <w:rsid w:val="00D66462"/>
    <w:rsid w:val="00D66DBD"/>
    <w:rsid w:val="00D73E28"/>
    <w:rsid w:val="00D82D0B"/>
    <w:rsid w:val="00D909FD"/>
    <w:rsid w:val="00DB287F"/>
    <w:rsid w:val="00DC54F7"/>
    <w:rsid w:val="00DD1F9F"/>
    <w:rsid w:val="00DD6A5A"/>
    <w:rsid w:val="00DE700E"/>
    <w:rsid w:val="00DF65C9"/>
    <w:rsid w:val="00E10173"/>
    <w:rsid w:val="00E1499B"/>
    <w:rsid w:val="00E240D3"/>
    <w:rsid w:val="00E32C60"/>
    <w:rsid w:val="00E646CE"/>
    <w:rsid w:val="00E67BCB"/>
    <w:rsid w:val="00E70213"/>
    <w:rsid w:val="00E76E1A"/>
    <w:rsid w:val="00E81821"/>
    <w:rsid w:val="00EA482F"/>
    <w:rsid w:val="00EA545F"/>
    <w:rsid w:val="00EB3135"/>
    <w:rsid w:val="00EF004B"/>
    <w:rsid w:val="00EF390F"/>
    <w:rsid w:val="00EF580C"/>
    <w:rsid w:val="00F07F25"/>
    <w:rsid w:val="00F27A1B"/>
    <w:rsid w:val="00F32D68"/>
    <w:rsid w:val="00F441EA"/>
    <w:rsid w:val="00F5479D"/>
    <w:rsid w:val="00F56215"/>
    <w:rsid w:val="00F60038"/>
    <w:rsid w:val="00F627EA"/>
    <w:rsid w:val="00F71A16"/>
    <w:rsid w:val="00F76606"/>
    <w:rsid w:val="00F77E87"/>
    <w:rsid w:val="00F82B75"/>
    <w:rsid w:val="00FA2EAF"/>
    <w:rsid w:val="00FA672D"/>
    <w:rsid w:val="00FB03FD"/>
    <w:rsid w:val="00FB3FB4"/>
    <w:rsid w:val="00FC234F"/>
    <w:rsid w:val="00FC2DB0"/>
    <w:rsid w:val="00FE59E8"/>
    <w:rsid w:val="00FF3CBE"/>
    <w:rsid w:val="00FF58B9"/>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5166C14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uiPriority w:val="1"/>
    <w:qFormat/>
    <w:rPr>
      <w:rFonts w:eastAsia="Calibri"/>
    </w:rPr>
  </w:style>
  <w:style w:type="paragraph" w:styleId="Heading1">
    <w:name w:val="heading 1"/>
    <w:basedOn w:val="Normal"/>
    <w:next w:val="Normal"/>
    <w:link w:val="Heading1Char"/>
    <w:qFormat/>
    <w:pPr>
      <w:keepNext/>
      <w:spacing w:before="240" w:after="60"/>
      <w:outlineLvl w:val="0"/>
    </w:pPr>
    <w:rPr>
      <w:rFonts w:ascii="Calibri" w:eastAsia="MS Gothic" w:hAnsi="Calibri"/>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style>
  <w:style w:type="character" w:styleId="Hyperlink">
    <w:name w:val="Hyperlink"/>
    <w:rPr>
      <w:color w:val="0000FF"/>
      <w:u w:val="single"/>
    </w:rPr>
  </w:style>
  <w:style w:type="paragraph" w:customStyle="1" w:styleId="O-BodyText">
    <w:name w:val="O-Body Text ()"/>
    <w:aliases w:val="s1"/>
    <w:basedOn w:val="Normal"/>
    <w:pPr>
      <w:spacing w:after="240"/>
    </w:pPr>
    <w:rPr>
      <w:rFonts w:eastAsia="Times New Roman"/>
    </w:rPr>
  </w:style>
  <w:style w:type="paragraph" w:customStyle="1" w:styleId="O-TITLECENTEREDB">
    <w:name w:val="O-TITLE CENTERED (B)"/>
    <w:aliases w:val="s10"/>
    <w:basedOn w:val="Normal"/>
    <w:next w:val="O-BodyText"/>
    <w:pPr>
      <w:keepNext/>
      <w:keepLines/>
      <w:spacing w:after="240"/>
      <w:jc w:val="center"/>
    </w:pPr>
    <w:rPr>
      <w:rFonts w:eastAsia="Times New Roman"/>
      <w:b/>
      <w:caps/>
    </w:rPr>
  </w:style>
  <w:style w:type="paragraph" w:customStyle="1" w:styleId="O-Singlenospaceafter">
    <w:name w:val="O-Single (no space after)"/>
    <w:aliases w:val="s31"/>
    <w:basedOn w:val="Normal"/>
  </w:style>
  <w:style w:type="paragraph" w:customStyle="1" w:styleId="O-BodyTextDS">
    <w:name w:val="O-Body Text (DS)"/>
    <w:aliases w:val="s28"/>
    <w:basedOn w:val="Normal"/>
    <w:pPr>
      <w:spacing w:line="480" w:lineRule="auto"/>
    </w:pPr>
    <w:rPr>
      <w:rFonts w:eastAsia="Times New Roman"/>
    </w:rPr>
  </w:style>
  <w:style w:type="paragraph" w:customStyle="1" w:styleId="O-BodyTextJ">
    <w:name w:val="O-Body Text (J)"/>
    <w:aliases w:val="s13"/>
    <w:basedOn w:val="Normal"/>
    <w:pPr>
      <w:spacing w:after="240"/>
      <w:jc w:val="both"/>
    </w:pPr>
    <w:rPr>
      <w:rFonts w:eastAsia="Times New Roman"/>
    </w:rPr>
  </w:style>
  <w:style w:type="paragraph" w:customStyle="1" w:styleId="O-BodyText5J">
    <w:name w:val="O-Body Text .5” (J)"/>
    <w:aliases w:val="s14"/>
    <w:basedOn w:val="Normal"/>
    <w:pPr>
      <w:spacing w:after="240"/>
      <w:ind w:firstLine="720"/>
      <w:jc w:val="both"/>
    </w:pPr>
    <w:rPr>
      <w:rFonts w:eastAsia="Times New Roman"/>
    </w:rPr>
  </w:style>
  <w:style w:type="paragraph" w:customStyle="1" w:styleId="O-BodyText5">
    <w:name w:val="O-Body Text .5&quot;"/>
    <w:aliases w:val="s2"/>
    <w:basedOn w:val="Normal"/>
    <w:pPr>
      <w:spacing w:after="240"/>
      <w:ind w:firstLine="720"/>
    </w:pPr>
    <w:rPr>
      <w:rFonts w:eastAsia="Times New Roman"/>
    </w:rPr>
  </w:style>
  <w:style w:type="paragraph" w:customStyle="1" w:styleId="O-BodyText5DS">
    <w:name w:val="O-Body Text .5” (DS)"/>
    <w:aliases w:val="s29"/>
    <w:basedOn w:val="Normal"/>
    <w:pPr>
      <w:keepLines/>
      <w:spacing w:line="480" w:lineRule="auto"/>
      <w:ind w:firstLine="720"/>
    </w:pPr>
    <w:rPr>
      <w:rFonts w:eastAsia="Times New Roman"/>
    </w:rPr>
  </w:style>
  <w:style w:type="paragraph" w:customStyle="1" w:styleId="O-BodyText1J">
    <w:name w:val="O-Body Text 1” (J)"/>
    <w:aliases w:val="s15"/>
    <w:basedOn w:val="Normal"/>
    <w:pPr>
      <w:spacing w:after="240"/>
      <w:ind w:firstLine="1440"/>
      <w:jc w:val="both"/>
    </w:pPr>
    <w:rPr>
      <w:rFonts w:eastAsia="Times New Roman"/>
    </w:rPr>
  </w:style>
  <w:style w:type="paragraph" w:customStyle="1" w:styleId="O-BodyText1">
    <w:name w:val="O-Body Text 1&quot;"/>
    <w:aliases w:val="s3"/>
    <w:basedOn w:val="Normal"/>
    <w:pPr>
      <w:spacing w:after="240"/>
      <w:ind w:firstLine="1440"/>
    </w:pPr>
    <w:rPr>
      <w:rFonts w:eastAsia="Times New Roman"/>
    </w:rPr>
  </w:style>
  <w:style w:type="paragraph" w:customStyle="1" w:styleId="O-BodyText1DS">
    <w:name w:val="O-Body Text 1” (DS)"/>
    <w:aliases w:val="s30"/>
    <w:basedOn w:val="Normal"/>
    <w:pPr>
      <w:spacing w:line="480" w:lineRule="auto"/>
      <w:ind w:firstLine="1440"/>
    </w:pPr>
    <w:rPr>
      <w:rFonts w:eastAsia="Times New Roman"/>
    </w:rPr>
  </w:style>
  <w:style w:type="paragraph" w:customStyle="1" w:styleId="O-Bullet5">
    <w:name w:val="O-Bullet .5&quot;"/>
    <w:aliases w:val="s26"/>
    <w:basedOn w:val="Normal"/>
    <w:pPr>
      <w:keepLines/>
      <w:numPr>
        <w:numId w:val="35"/>
      </w:numPr>
      <w:spacing w:after="240"/>
    </w:pPr>
    <w:rPr>
      <w:rFonts w:eastAsia="Times New Roman"/>
    </w:rPr>
  </w:style>
  <w:style w:type="paragraph" w:customStyle="1" w:styleId="O-Bullet1">
    <w:name w:val="O-Bullet 1&quot;"/>
    <w:aliases w:val="s27"/>
    <w:basedOn w:val="Normal"/>
    <w:pPr>
      <w:keepLines/>
      <w:numPr>
        <w:numId w:val="36"/>
      </w:numPr>
      <w:spacing w:after="240"/>
    </w:pPr>
    <w:rPr>
      <w:rFonts w:eastAsia="Times New Roman"/>
    </w:rPr>
  </w:style>
  <w:style w:type="paragraph" w:customStyle="1" w:styleId="O-Bullet">
    <w:name w:val="O-Bullet ()"/>
    <w:aliases w:val="s4"/>
    <w:basedOn w:val="Normal"/>
    <w:pPr>
      <w:numPr>
        <w:numId w:val="34"/>
      </w:numPr>
      <w:spacing w:after="240"/>
    </w:pPr>
    <w:rPr>
      <w:rFonts w:eastAsia="Times New Roman"/>
    </w:rPr>
  </w:style>
  <w:style w:type="paragraph" w:customStyle="1" w:styleId="O-Indent5">
    <w:name w:val="O-Indent .5&quot;"/>
    <w:aliases w:val="s5"/>
    <w:basedOn w:val="Normal"/>
    <w:pPr>
      <w:spacing w:after="240"/>
      <w:ind w:left="720"/>
    </w:pPr>
    <w:rPr>
      <w:rFonts w:eastAsia="Times New Roman"/>
    </w:rPr>
  </w:style>
  <w:style w:type="paragraph" w:customStyle="1" w:styleId="O-Indent1">
    <w:name w:val="O-Indent 1&quot;"/>
    <w:aliases w:val="s6"/>
    <w:basedOn w:val="Normal"/>
    <w:pPr>
      <w:spacing w:after="240"/>
      <w:ind w:left="1440"/>
    </w:pPr>
    <w:rPr>
      <w:rFonts w:eastAsia="Times New Roman"/>
    </w:rPr>
  </w:style>
  <w:style w:type="paragraph" w:customStyle="1" w:styleId="O-Quote">
    <w:name w:val="O-Quote ()"/>
    <w:aliases w:val="s7"/>
    <w:basedOn w:val="Normal"/>
    <w:pPr>
      <w:spacing w:after="240"/>
      <w:ind w:left="1440" w:right="1440"/>
    </w:pPr>
    <w:rPr>
      <w:rFonts w:eastAsia="Times New Roman"/>
    </w:rPr>
  </w:style>
  <w:style w:type="paragraph" w:customStyle="1" w:styleId="O-QuoteDS">
    <w:name w:val="O-Quote (DS)"/>
    <w:aliases w:val="s17"/>
    <w:basedOn w:val="Normal"/>
    <w:pPr>
      <w:spacing w:after="240" w:line="480" w:lineRule="auto"/>
      <w:ind w:left="1440" w:right="1440"/>
    </w:pPr>
    <w:rPr>
      <w:rFonts w:eastAsia="Times New Roman"/>
    </w:rPr>
  </w:style>
  <w:style w:type="paragraph" w:customStyle="1" w:styleId="O-QuoteJ">
    <w:name w:val="O-Quote (J)"/>
    <w:aliases w:val="s16"/>
    <w:basedOn w:val="Normal"/>
    <w:pPr>
      <w:spacing w:after="240"/>
      <w:ind w:left="1440" w:right="1440"/>
      <w:jc w:val="both"/>
    </w:pPr>
    <w:rPr>
      <w:rFonts w:eastAsia="Times New Roman"/>
    </w:rPr>
  </w:style>
  <w:style w:type="paragraph" w:customStyle="1" w:styleId="O-SignatureLA">
    <w:name w:val="O-Signature (LA)"/>
    <w:aliases w:val="s18"/>
    <w:basedOn w:val="Normal"/>
    <w:pPr>
      <w:keepLines/>
      <w:tabs>
        <w:tab w:val="right" w:pos="2880"/>
      </w:tabs>
      <w:spacing w:before="720" w:after="240"/>
      <w:ind w:left="547" w:hanging="547"/>
    </w:pPr>
    <w:rPr>
      <w:rFonts w:eastAsia="Times New Roman"/>
    </w:rPr>
  </w:style>
  <w:style w:type="paragraph" w:customStyle="1" w:styleId="O-Signature">
    <w:name w:val="O-Signature"/>
    <w:aliases w:val="s12"/>
    <w:basedOn w:val="Normal"/>
    <w:next w:val="O-BodyText"/>
    <w:pPr>
      <w:keepNext/>
      <w:keepLines/>
      <w:spacing w:after="240"/>
      <w:ind w:left="5040"/>
    </w:pPr>
    <w:rPr>
      <w:rFonts w:eastAsia="Times New Roman"/>
    </w:rPr>
  </w:style>
  <w:style w:type="paragraph" w:customStyle="1" w:styleId="O-TitleBldCtrLowerCaps">
    <w:name w:val="O-Title (Bld) (Ctr) (Lower Caps)"/>
    <w:aliases w:val="s20"/>
    <w:basedOn w:val="Normal"/>
    <w:next w:val="O-BodyText"/>
    <w:pPr>
      <w:keepNext/>
      <w:keepLines/>
      <w:spacing w:after="240"/>
      <w:jc w:val="center"/>
    </w:pPr>
    <w:rPr>
      <w:rFonts w:eastAsia="Times New Roman"/>
      <w:b/>
      <w:bCs/>
    </w:rPr>
  </w:style>
  <w:style w:type="paragraph" w:customStyle="1" w:styleId="O-TitleCLowerCaps">
    <w:name w:val="O-Title (C) (Lower Caps)"/>
    <w:aliases w:val="s21"/>
    <w:basedOn w:val="Normal"/>
    <w:next w:val="O-BodyText"/>
    <w:pPr>
      <w:keepNext/>
      <w:keepLines/>
      <w:spacing w:after="240"/>
      <w:jc w:val="center"/>
    </w:pPr>
    <w:rPr>
      <w:rFonts w:eastAsia="Times New Roman"/>
    </w:rPr>
  </w:style>
  <w:style w:type="paragraph" w:customStyle="1" w:styleId="O-TITLECENTEREDU">
    <w:name w:val="O-TITLE CENTERED (U)"/>
    <w:aliases w:val="s8"/>
    <w:basedOn w:val="Normal"/>
    <w:next w:val="O-BodyText"/>
    <w:pPr>
      <w:keepNext/>
      <w:keepLines/>
      <w:spacing w:after="240"/>
      <w:jc w:val="center"/>
    </w:pPr>
    <w:rPr>
      <w:rFonts w:eastAsia="Times New Roman"/>
      <w:caps/>
      <w:u w:val="single"/>
    </w:rPr>
  </w:style>
  <w:style w:type="paragraph" w:customStyle="1" w:styleId="O-TitleLeftBldU">
    <w:name w:val="O-Title Left (Bld) (U)"/>
    <w:aliases w:val="s19"/>
    <w:basedOn w:val="Normal"/>
    <w:next w:val="O-BodyText"/>
    <w:pPr>
      <w:keepNext/>
      <w:keepLines/>
      <w:spacing w:after="240"/>
    </w:pPr>
    <w:rPr>
      <w:rFonts w:eastAsia="Times New Roman"/>
      <w:b/>
      <w:bCs/>
      <w:u w:val="single"/>
    </w:rPr>
  </w:style>
  <w:style w:type="paragraph" w:customStyle="1" w:styleId="O-TitleLeftIUBld">
    <w:name w:val="O-Title Left (I) (U) (Bld)"/>
    <w:aliases w:val="s25"/>
    <w:basedOn w:val="Normal"/>
    <w:next w:val="O-BodyText"/>
    <w:pPr>
      <w:keepNext/>
      <w:keepLines/>
      <w:spacing w:after="240"/>
    </w:pPr>
    <w:rPr>
      <w:rFonts w:eastAsia="Times New Roman"/>
      <w:b/>
      <w:bCs/>
      <w:i/>
      <w:iCs/>
      <w:u w:val="single"/>
    </w:rPr>
  </w:style>
  <w:style w:type="paragraph" w:customStyle="1" w:styleId="O-TitleLeftIU">
    <w:name w:val="O-Title Left (I) (U)"/>
    <w:aliases w:val="s24"/>
    <w:basedOn w:val="Normal"/>
    <w:next w:val="O-BodyText"/>
    <w:pPr>
      <w:keepNext/>
      <w:keepLines/>
      <w:spacing w:after="240"/>
    </w:pPr>
    <w:rPr>
      <w:rFonts w:eastAsia="Times New Roman"/>
      <w:bCs/>
      <w:i/>
      <w:u w:val="single"/>
    </w:rPr>
  </w:style>
  <w:style w:type="paragraph" w:customStyle="1" w:styleId="O-TitleLeftI">
    <w:name w:val="O-Title Left (I)"/>
    <w:aliases w:val="s23"/>
    <w:basedOn w:val="Normal"/>
    <w:next w:val="O-BodyText"/>
    <w:pPr>
      <w:keepNext/>
      <w:keepLines/>
      <w:spacing w:after="240"/>
    </w:pPr>
    <w:rPr>
      <w:rFonts w:eastAsia="Times New Roman"/>
      <w:bCs/>
      <w:i/>
      <w:iCs/>
    </w:rPr>
  </w:style>
  <w:style w:type="paragraph" w:customStyle="1" w:styleId="O-TitleLeftBold">
    <w:name w:val="O-Title Left Bold"/>
    <w:aliases w:val="s11"/>
    <w:basedOn w:val="Normal"/>
    <w:next w:val="O-BodyText"/>
    <w:pPr>
      <w:keepNext/>
      <w:keepLines/>
      <w:spacing w:after="240"/>
    </w:pPr>
    <w:rPr>
      <w:rFonts w:eastAsia="Times New Roman"/>
      <w:b/>
    </w:rPr>
  </w:style>
  <w:style w:type="paragraph" w:customStyle="1" w:styleId="O-TitleLeftU">
    <w:name w:val="O-Title Left (U)"/>
    <w:aliases w:val="S9"/>
    <w:basedOn w:val="Normal"/>
    <w:next w:val="O-BodyText"/>
    <w:pPr>
      <w:keepNext/>
      <w:keepLines/>
      <w:spacing w:after="240"/>
    </w:pPr>
    <w:rPr>
      <w:rFonts w:eastAsia="Times New Roman"/>
      <w:u w:val="single"/>
    </w:rPr>
  </w:style>
  <w:style w:type="paragraph" w:customStyle="1" w:styleId="O-TitleCtrBldULowerCaps">
    <w:name w:val="O-Title (Ctr) (Bld) (U) (Lower Caps)"/>
    <w:aliases w:val="s22"/>
    <w:basedOn w:val="Normal"/>
    <w:next w:val="O-BodyText"/>
    <w:pPr>
      <w:keepNext/>
      <w:keepLines/>
      <w:spacing w:after="240"/>
      <w:jc w:val="center"/>
    </w:pPr>
    <w:rPr>
      <w:rFonts w:eastAsia="Times New Roman"/>
      <w:b/>
      <w:bCs/>
      <w:u w:val="single"/>
    </w:rPr>
  </w:style>
  <w:style w:type="paragraph" w:styleId="Header">
    <w:name w:val="header"/>
    <w:basedOn w:val="Normal"/>
    <w:link w:val="HeaderChar"/>
    <w:uiPriority w:val="99"/>
    <w:unhideWhenUsed/>
    <w:pPr>
      <w:tabs>
        <w:tab w:val="center" w:pos="4680"/>
        <w:tab w:val="right" w:pos="9360"/>
      </w:tabs>
    </w:pPr>
    <w:rPr>
      <w:lang w:val="x-none" w:eastAsia="x-none"/>
    </w:rPr>
  </w:style>
  <w:style w:type="character" w:customStyle="1" w:styleId="HeaderChar">
    <w:name w:val="Header Char"/>
    <w:link w:val="Header"/>
    <w:uiPriority w:val="99"/>
    <w:rPr>
      <w:rFonts w:eastAsia="Calibri"/>
      <w:sz w:val="24"/>
      <w:szCs w:val="24"/>
    </w:rPr>
  </w:style>
  <w:style w:type="paragraph" w:styleId="Footer">
    <w:name w:val="footer"/>
    <w:basedOn w:val="Normal"/>
    <w:link w:val="FooterChar"/>
    <w:uiPriority w:val="99"/>
    <w:unhideWhenUsed/>
    <w:pPr>
      <w:tabs>
        <w:tab w:val="center" w:pos="4680"/>
        <w:tab w:val="right" w:pos="9360"/>
      </w:tabs>
    </w:pPr>
    <w:rPr>
      <w:lang w:val="x-none" w:eastAsia="x-none"/>
    </w:rPr>
  </w:style>
  <w:style w:type="character" w:customStyle="1" w:styleId="FooterChar">
    <w:name w:val="Footer Char"/>
    <w:link w:val="Footer"/>
    <w:uiPriority w:val="99"/>
    <w:rPr>
      <w:rFonts w:eastAsia="Calibri"/>
      <w:sz w:val="24"/>
      <w:szCs w:val="24"/>
    </w:rPr>
  </w:style>
  <w:style w:type="paragraph" w:customStyle="1" w:styleId="18pttitle">
    <w:name w:val="18 pt title"/>
    <w:basedOn w:val="Normal"/>
    <w:uiPriority w:val="1"/>
    <w:pPr>
      <w:spacing w:after="240"/>
      <w:jc w:val="center"/>
    </w:pPr>
    <w:rPr>
      <w:b/>
      <w:sz w:val="36"/>
    </w:rPr>
  </w:style>
  <w:style w:type="paragraph" w:customStyle="1" w:styleId="25hangingindent">
    <w:name w:val=".25 hanging indent"/>
    <w:basedOn w:val="Normal"/>
    <w:uiPriority w:val="1"/>
    <w:pPr>
      <w:spacing w:after="240"/>
      <w:ind w:left="720" w:right="288" w:hanging="360"/>
      <w:jc w:val="both"/>
    </w:pPr>
    <w:rPr>
      <w:b/>
    </w:rPr>
  </w:style>
  <w:style w:type="paragraph" w:customStyle="1" w:styleId="5hanging">
    <w:name w:val=".5 hanging"/>
    <w:basedOn w:val="Normal"/>
    <w:uiPriority w:val="1"/>
    <w:pPr>
      <w:spacing w:after="240"/>
      <w:ind w:left="1440" w:hanging="720"/>
      <w:jc w:val="both"/>
    </w:pPr>
  </w:style>
  <w:style w:type="paragraph" w:customStyle="1" w:styleId="MacPacTrailer">
    <w:name w:val="MacPac Trailer"/>
    <w:pPr>
      <w:widowControl w:val="0"/>
      <w:spacing w:line="200" w:lineRule="exact"/>
    </w:pPr>
    <w:rPr>
      <w:sz w:val="16"/>
      <w:szCs w:val="22"/>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Pr>
      <w:rFonts w:ascii="Tahoma" w:hAnsi="Tahoma"/>
      <w:sz w:val="16"/>
      <w:szCs w:val="16"/>
      <w:lang w:val="x-none" w:eastAsia="x-none"/>
    </w:rPr>
  </w:style>
  <w:style w:type="character" w:customStyle="1" w:styleId="BalloonTextChar">
    <w:name w:val="Balloon Text Char"/>
    <w:link w:val="BalloonText"/>
    <w:rPr>
      <w:rFonts w:ascii="Tahoma" w:eastAsia="Calibri" w:hAnsi="Tahoma" w:cs="Tahoma"/>
      <w:sz w:val="16"/>
      <w:szCs w:val="16"/>
    </w:rPr>
  </w:style>
  <w:style w:type="paragraph" w:customStyle="1" w:styleId="ColorfulList-Accent11">
    <w:name w:val="Colorful List - Accent 11"/>
    <w:basedOn w:val="Normal"/>
    <w:qFormat/>
    <w:pPr>
      <w:ind w:left="720"/>
    </w:pPr>
  </w:style>
  <w:style w:type="character" w:customStyle="1" w:styleId="Heading1Char">
    <w:name w:val="Heading 1 Char"/>
    <w:link w:val="Heading1"/>
    <w:rPr>
      <w:rFonts w:ascii="Calibri" w:eastAsia="MS Gothic" w:hAnsi="Calibri" w:cs="Times New Roman"/>
      <w:b/>
      <w:bCs/>
      <w:kern w:val="32"/>
      <w:sz w:val="32"/>
      <w:szCs w:val="32"/>
    </w:rPr>
  </w:style>
  <w:style w:type="paragraph" w:styleId="TOCHeading">
    <w:name w:val="TOC Heading"/>
    <w:basedOn w:val="Heading1"/>
    <w:next w:val="Normal"/>
    <w:uiPriority w:val="39"/>
    <w:unhideWhenUsed/>
    <w:qFormat/>
    <w:pPr>
      <w:keepLines/>
      <w:spacing w:before="480" w:after="0" w:line="276" w:lineRule="auto"/>
      <w:outlineLvl w:val="9"/>
    </w:pPr>
    <w:rPr>
      <w:color w:val="365F91"/>
      <w:kern w:val="0"/>
      <w:sz w:val="28"/>
      <w:szCs w:val="28"/>
    </w:rPr>
  </w:style>
  <w:style w:type="paragraph" w:styleId="TOC1">
    <w:name w:val="toc 1"/>
    <w:basedOn w:val="Normal"/>
    <w:next w:val="Normal"/>
    <w:autoRedefine/>
    <w:pPr>
      <w:spacing w:before="120"/>
    </w:pPr>
    <w:rPr>
      <w:rFonts w:ascii="Cambria" w:hAnsi="Cambria"/>
      <w:b/>
      <w:caps/>
      <w:sz w:val="22"/>
      <w:szCs w:val="22"/>
    </w:rPr>
  </w:style>
  <w:style w:type="paragraph" w:styleId="TOC2">
    <w:name w:val="toc 2"/>
    <w:basedOn w:val="Normal"/>
    <w:next w:val="Normal"/>
    <w:autoRedefine/>
    <w:pPr>
      <w:ind w:left="240"/>
    </w:pPr>
    <w:rPr>
      <w:rFonts w:ascii="Cambria" w:hAnsi="Cambria"/>
      <w:smallCaps/>
      <w:sz w:val="22"/>
      <w:szCs w:val="22"/>
    </w:rPr>
  </w:style>
  <w:style w:type="paragraph" w:styleId="TOC3">
    <w:name w:val="toc 3"/>
    <w:basedOn w:val="Normal"/>
    <w:next w:val="Normal"/>
    <w:autoRedefine/>
    <w:pPr>
      <w:ind w:left="480"/>
    </w:pPr>
    <w:rPr>
      <w:rFonts w:ascii="Cambria" w:hAnsi="Cambria"/>
      <w:i/>
      <w:sz w:val="22"/>
      <w:szCs w:val="22"/>
    </w:rPr>
  </w:style>
  <w:style w:type="paragraph" w:styleId="TOC4">
    <w:name w:val="toc 4"/>
    <w:basedOn w:val="Normal"/>
    <w:next w:val="Normal"/>
    <w:autoRedefine/>
    <w:pPr>
      <w:ind w:left="720"/>
    </w:pPr>
    <w:rPr>
      <w:rFonts w:ascii="Cambria" w:hAnsi="Cambria"/>
      <w:sz w:val="18"/>
      <w:szCs w:val="18"/>
    </w:rPr>
  </w:style>
  <w:style w:type="paragraph" w:styleId="TOC5">
    <w:name w:val="toc 5"/>
    <w:basedOn w:val="Normal"/>
    <w:next w:val="Normal"/>
    <w:autoRedefine/>
    <w:pPr>
      <w:ind w:left="960"/>
    </w:pPr>
    <w:rPr>
      <w:rFonts w:ascii="Cambria" w:hAnsi="Cambria"/>
      <w:sz w:val="18"/>
      <w:szCs w:val="18"/>
    </w:rPr>
  </w:style>
  <w:style w:type="paragraph" w:styleId="TOC6">
    <w:name w:val="toc 6"/>
    <w:basedOn w:val="Normal"/>
    <w:next w:val="Normal"/>
    <w:autoRedefine/>
    <w:pPr>
      <w:ind w:left="1200"/>
    </w:pPr>
    <w:rPr>
      <w:rFonts w:ascii="Cambria" w:hAnsi="Cambria"/>
      <w:sz w:val="18"/>
      <w:szCs w:val="18"/>
    </w:rPr>
  </w:style>
  <w:style w:type="paragraph" w:styleId="TOC7">
    <w:name w:val="toc 7"/>
    <w:basedOn w:val="Normal"/>
    <w:next w:val="Normal"/>
    <w:autoRedefine/>
    <w:pPr>
      <w:ind w:left="1440"/>
    </w:pPr>
    <w:rPr>
      <w:rFonts w:ascii="Cambria" w:hAnsi="Cambria"/>
      <w:sz w:val="18"/>
      <w:szCs w:val="18"/>
    </w:rPr>
  </w:style>
  <w:style w:type="paragraph" w:styleId="TOC8">
    <w:name w:val="toc 8"/>
    <w:basedOn w:val="Normal"/>
    <w:next w:val="Normal"/>
    <w:autoRedefine/>
    <w:pPr>
      <w:ind w:left="1680"/>
    </w:pPr>
    <w:rPr>
      <w:rFonts w:ascii="Cambria" w:hAnsi="Cambria"/>
      <w:sz w:val="18"/>
      <w:szCs w:val="18"/>
    </w:rPr>
  </w:style>
  <w:style w:type="paragraph" w:styleId="TOC9">
    <w:name w:val="toc 9"/>
    <w:basedOn w:val="Normal"/>
    <w:next w:val="Normal"/>
    <w:autoRedefine/>
    <w:pPr>
      <w:ind w:left="1920"/>
    </w:pPr>
    <w:rPr>
      <w:rFonts w:ascii="Cambria" w:hAnsi="Cambria"/>
      <w:sz w:val="18"/>
      <w:szCs w:val="18"/>
    </w:rPr>
  </w:style>
  <w:style w:type="table" w:customStyle="1" w:styleId="Quote1">
    <w:name w:val="Quote1"/>
    <w:basedOn w:val="TableNormal"/>
    <w:qFormat/>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character" w:styleId="Emphasis">
    <w:name w:val="Emphasis"/>
    <w:qFormat/>
    <w:rPr>
      <w:i/>
      <w:iCs/>
    </w:rPr>
  </w:style>
  <w:style w:type="character" w:customStyle="1" w:styleId="DocID">
    <w:name w:val="DocID"/>
    <w:rPr>
      <w:rFonts w:ascii="Times New Roman" w:hAnsi="Times New Roman" w:cs="Times New Roman"/>
      <w:b w:val="0"/>
      <w:i w:val="0"/>
      <w:color w:val="000000"/>
      <w:sz w:val="14"/>
      <w:u w:val="none"/>
    </w:rPr>
  </w:style>
  <w:style w:type="paragraph" w:customStyle="1" w:styleId="BodyFirstLine5">
    <w:name w:val="Body First Line .5&quot;"/>
    <w:basedOn w:val="BodyText"/>
    <w:pPr>
      <w:spacing w:after="240"/>
      <w:ind w:firstLine="720"/>
      <w:jc w:val="both"/>
    </w:pPr>
    <w:rPr>
      <w:rFonts w:eastAsia="Times New Roman"/>
    </w:rPr>
  </w:style>
  <w:style w:type="paragraph" w:styleId="BodyText">
    <w:name w:val="Body Text"/>
    <w:basedOn w:val="Normal"/>
    <w:link w:val="BodyTextChar"/>
    <w:pPr>
      <w:spacing w:after="120"/>
    </w:pPr>
  </w:style>
  <w:style w:type="character" w:customStyle="1" w:styleId="BodyTextChar">
    <w:name w:val="Body Text Char"/>
    <w:link w:val="BodyText"/>
    <w:rPr>
      <w:rFonts w:eastAsia="Calibri"/>
      <w:sz w:val="24"/>
      <w:szCs w:val="24"/>
    </w:rPr>
  </w:style>
  <w:style w:type="character" w:styleId="FollowedHyperlink">
    <w:name w:val="FollowedHyperlink"/>
    <w:rsid w:val="005D1CB6"/>
    <w:rPr>
      <w:color w:val="800080"/>
      <w:u w:val="single"/>
    </w:rPr>
  </w:style>
  <w:style w:type="paragraph" w:styleId="CommentText">
    <w:name w:val="annotation text"/>
    <w:basedOn w:val="Normal"/>
    <w:link w:val="CommentTextChar"/>
    <w:uiPriority w:val="99"/>
    <w:unhideWhenUsed/>
    <w:rsid w:val="00C64D3F"/>
    <w:rPr>
      <w:rFonts w:ascii="Arial" w:hAnsi="Arial"/>
    </w:rPr>
  </w:style>
  <w:style w:type="character" w:customStyle="1" w:styleId="CommentTextChar">
    <w:name w:val="Comment Text Char"/>
    <w:link w:val="CommentText"/>
    <w:uiPriority w:val="99"/>
    <w:rsid w:val="00C64D3F"/>
    <w:rPr>
      <w:rFonts w:ascii="Arial" w:eastAsia="Calibri" w:hAnsi="Arial"/>
      <w:sz w:val="24"/>
      <w:szCs w:val="24"/>
    </w:rPr>
  </w:style>
  <w:style w:type="character" w:styleId="UnresolvedMention">
    <w:name w:val="Unresolved Mention"/>
    <w:basedOn w:val="DefaultParagraphFont"/>
    <w:rsid w:val="003016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430">
      <w:bodyDiv w:val="1"/>
      <w:marLeft w:val="0"/>
      <w:marRight w:val="0"/>
      <w:marTop w:val="0"/>
      <w:marBottom w:val="0"/>
      <w:divBdr>
        <w:top w:val="none" w:sz="0" w:space="0" w:color="auto"/>
        <w:left w:val="none" w:sz="0" w:space="0" w:color="auto"/>
        <w:bottom w:val="none" w:sz="0" w:space="0" w:color="auto"/>
        <w:right w:val="none" w:sz="0" w:space="0" w:color="auto"/>
      </w:divBdr>
    </w:div>
    <w:div w:id="25496553">
      <w:bodyDiv w:val="1"/>
      <w:marLeft w:val="0"/>
      <w:marRight w:val="0"/>
      <w:marTop w:val="0"/>
      <w:marBottom w:val="0"/>
      <w:divBdr>
        <w:top w:val="none" w:sz="0" w:space="0" w:color="auto"/>
        <w:left w:val="none" w:sz="0" w:space="0" w:color="auto"/>
        <w:bottom w:val="none" w:sz="0" w:space="0" w:color="auto"/>
        <w:right w:val="none" w:sz="0" w:space="0" w:color="auto"/>
      </w:divBdr>
    </w:div>
    <w:div w:id="40059782">
      <w:bodyDiv w:val="1"/>
      <w:marLeft w:val="0"/>
      <w:marRight w:val="0"/>
      <w:marTop w:val="0"/>
      <w:marBottom w:val="0"/>
      <w:divBdr>
        <w:top w:val="none" w:sz="0" w:space="0" w:color="auto"/>
        <w:left w:val="none" w:sz="0" w:space="0" w:color="auto"/>
        <w:bottom w:val="none" w:sz="0" w:space="0" w:color="auto"/>
        <w:right w:val="none" w:sz="0" w:space="0" w:color="auto"/>
      </w:divBdr>
    </w:div>
    <w:div w:id="80372192">
      <w:bodyDiv w:val="1"/>
      <w:marLeft w:val="0"/>
      <w:marRight w:val="0"/>
      <w:marTop w:val="0"/>
      <w:marBottom w:val="0"/>
      <w:divBdr>
        <w:top w:val="none" w:sz="0" w:space="0" w:color="auto"/>
        <w:left w:val="none" w:sz="0" w:space="0" w:color="auto"/>
        <w:bottom w:val="none" w:sz="0" w:space="0" w:color="auto"/>
        <w:right w:val="none" w:sz="0" w:space="0" w:color="auto"/>
      </w:divBdr>
    </w:div>
    <w:div w:id="181742689">
      <w:bodyDiv w:val="1"/>
      <w:marLeft w:val="0"/>
      <w:marRight w:val="0"/>
      <w:marTop w:val="0"/>
      <w:marBottom w:val="0"/>
      <w:divBdr>
        <w:top w:val="none" w:sz="0" w:space="0" w:color="auto"/>
        <w:left w:val="none" w:sz="0" w:space="0" w:color="auto"/>
        <w:bottom w:val="none" w:sz="0" w:space="0" w:color="auto"/>
        <w:right w:val="none" w:sz="0" w:space="0" w:color="auto"/>
      </w:divBdr>
    </w:div>
    <w:div w:id="357465450">
      <w:bodyDiv w:val="1"/>
      <w:marLeft w:val="0"/>
      <w:marRight w:val="0"/>
      <w:marTop w:val="0"/>
      <w:marBottom w:val="0"/>
      <w:divBdr>
        <w:top w:val="none" w:sz="0" w:space="0" w:color="auto"/>
        <w:left w:val="none" w:sz="0" w:space="0" w:color="auto"/>
        <w:bottom w:val="none" w:sz="0" w:space="0" w:color="auto"/>
        <w:right w:val="none" w:sz="0" w:space="0" w:color="auto"/>
      </w:divBdr>
    </w:div>
    <w:div w:id="501361732">
      <w:bodyDiv w:val="1"/>
      <w:marLeft w:val="0"/>
      <w:marRight w:val="0"/>
      <w:marTop w:val="0"/>
      <w:marBottom w:val="0"/>
      <w:divBdr>
        <w:top w:val="none" w:sz="0" w:space="0" w:color="auto"/>
        <w:left w:val="none" w:sz="0" w:space="0" w:color="auto"/>
        <w:bottom w:val="none" w:sz="0" w:space="0" w:color="auto"/>
        <w:right w:val="none" w:sz="0" w:space="0" w:color="auto"/>
      </w:divBdr>
    </w:div>
    <w:div w:id="684281760">
      <w:bodyDiv w:val="1"/>
      <w:marLeft w:val="0"/>
      <w:marRight w:val="0"/>
      <w:marTop w:val="0"/>
      <w:marBottom w:val="0"/>
      <w:divBdr>
        <w:top w:val="none" w:sz="0" w:space="0" w:color="auto"/>
        <w:left w:val="none" w:sz="0" w:space="0" w:color="auto"/>
        <w:bottom w:val="none" w:sz="0" w:space="0" w:color="auto"/>
        <w:right w:val="none" w:sz="0" w:space="0" w:color="auto"/>
      </w:divBdr>
    </w:div>
    <w:div w:id="721485981">
      <w:bodyDiv w:val="1"/>
      <w:marLeft w:val="0"/>
      <w:marRight w:val="0"/>
      <w:marTop w:val="0"/>
      <w:marBottom w:val="0"/>
      <w:divBdr>
        <w:top w:val="none" w:sz="0" w:space="0" w:color="auto"/>
        <w:left w:val="none" w:sz="0" w:space="0" w:color="auto"/>
        <w:bottom w:val="none" w:sz="0" w:space="0" w:color="auto"/>
        <w:right w:val="none" w:sz="0" w:space="0" w:color="auto"/>
      </w:divBdr>
    </w:div>
    <w:div w:id="801113916">
      <w:bodyDiv w:val="1"/>
      <w:marLeft w:val="0"/>
      <w:marRight w:val="0"/>
      <w:marTop w:val="0"/>
      <w:marBottom w:val="0"/>
      <w:divBdr>
        <w:top w:val="none" w:sz="0" w:space="0" w:color="auto"/>
        <w:left w:val="none" w:sz="0" w:space="0" w:color="auto"/>
        <w:bottom w:val="none" w:sz="0" w:space="0" w:color="auto"/>
        <w:right w:val="none" w:sz="0" w:space="0" w:color="auto"/>
      </w:divBdr>
    </w:div>
    <w:div w:id="851334580">
      <w:bodyDiv w:val="1"/>
      <w:marLeft w:val="0"/>
      <w:marRight w:val="0"/>
      <w:marTop w:val="0"/>
      <w:marBottom w:val="0"/>
      <w:divBdr>
        <w:top w:val="none" w:sz="0" w:space="0" w:color="auto"/>
        <w:left w:val="none" w:sz="0" w:space="0" w:color="auto"/>
        <w:bottom w:val="none" w:sz="0" w:space="0" w:color="auto"/>
        <w:right w:val="none" w:sz="0" w:space="0" w:color="auto"/>
      </w:divBdr>
    </w:div>
    <w:div w:id="926814303">
      <w:bodyDiv w:val="1"/>
      <w:marLeft w:val="0"/>
      <w:marRight w:val="0"/>
      <w:marTop w:val="0"/>
      <w:marBottom w:val="0"/>
      <w:divBdr>
        <w:top w:val="none" w:sz="0" w:space="0" w:color="auto"/>
        <w:left w:val="none" w:sz="0" w:space="0" w:color="auto"/>
        <w:bottom w:val="none" w:sz="0" w:space="0" w:color="auto"/>
        <w:right w:val="none" w:sz="0" w:space="0" w:color="auto"/>
      </w:divBdr>
    </w:div>
    <w:div w:id="1077022758">
      <w:bodyDiv w:val="1"/>
      <w:marLeft w:val="0"/>
      <w:marRight w:val="0"/>
      <w:marTop w:val="0"/>
      <w:marBottom w:val="0"/>
      <w:divBdr>
        <w:top w:val="none" w:sz="0" w:space="0" w:color="auto"/>
        <w:left w:val="none" w:sz="0" w:space="0" w:color="auto"/>
        <w:bottom w:val="none" w:sz="0" w:space="0" w:color="auto"/>
        <w:right w:val="none" w:sz="0" w:space="0" w:color="auto"/>
      </w:divBdr>
    </w:div>
    <w:div w:id="1097363682">
      <w:bodyDiv w:val="1"/>
      <w:marLeft w:val="0"/>
      <w:marRight w:val="0"/>
      <w:marTop w:val="0"/>
      <w:marBottom w:val="0"/>
      <w:divBdr>
        <w:top w:val="none" w:sz="0" w:space="0" w:color="auto"/>
        <w:left w:val="none" w:sz="0" w:space="0" w:color="auto"/>
        <w:bottom w:val="none" w:sz="0" w:space="0" w:color="auto"/>
        <w:right w:val="none" w:sz="0" w:space="0" w:color="auto"/>
      </w:divBdr>
    </w:div>
    <w:div w:id="1336766347">
      <w:bodyDiv w:val="1"/>
      <w:marLeft w:val="0"/>
      <w:marRight w:val="0"/>
      <w:marTop w:val="0"/>
      <w:marBottom w:val="0"/>
      <w:divBdr>
        <w:top w:val="none" w:sz="0" w:space="0" w:color="auto"/>
        <w:left w:val="none" w:sz="0" w:space="0" w:color="auto"/>
        <w:bottom w:val="none" w:sz="0" w:space="0" w:color="auto"/>
        <w:right w:val="none" w:sz="0" w:space="0" w:color="auto"/>
      </w:divBdr>
    </w:div>
    <w:div w:id="1352680003">
      <w:bodyDiv w:val="1"/>
      <w:marLeft w:val="0"/>
      <w:marRight w:val="0"/>
      <w:marTop w:val="0"/>
      <w:marBottom w:val="0"/>
      <w:divBdr>
        <w:top w:val="none" w:sz="0" w:space="0" w:color="auto"/>
        <w:left w:val="none" w:sz="0" w:space="0" w:color="auto"/>
        <w:bottom w:val="none" w:sz="0" w:space="0" w:color="auto"/>
        <w:right w:val="none" w:sz="0" w:space="0" w:color="auto"/>
      </w:divBdr>
    </w:div>
    <w:div w:id="1376808306">
      <w:bodyDiv w:val="1"/>
      <w:marLeft w:val="0"/>
      <w:marRight w:val="0"/>
      <w:marTop w:val="0"/>
      <w:marBottom w:val="0"/>
      <w:divBdr>
        <w:top w:val="none" w:sz="0" w:space="0" w:color="auto"/>
        <w:left w:val="none" w:sz="0" w:space="0" w:color="auto"/>
        <w:bottom w:val="none" w:sz="0" w:space="0" w:color="auto"/>
        <w:right w:val="none" w:sz="0" w:space="0" w:color="auto"/>
      </w:divBdr>
    </w:div>
    <w:div w:id="1756828362">
      <w:bodyDiv w:val="1"/>
      <w:marLeft w:val="0"/>
      <w:marRight w:val="0"/>
      <w:marTop w:val="0"/>
      <w:marBottom w:val="0"/>
      <w:divBdr>
        <w:top w:val="none" w:sz="0" w:space="0" w:color="auto"/>
        <w:left w:val="none" w:sz="0" w:space="0" w:color="auto"/>
        <w:bottom w:val="none" w:sz="0" w:space="0" w:color="auto"/>
        <w:right w:val="none" w:sz="0" w:space="0" w:color="auto"/>
      </w:divBdr>
    </w:div>
    <w:div w:id="1800146995">
      <w:bodyDiv w:val="1"/>
      <w:marLeft w:val="0"/>
      <w:marRight w:val="0"/>
      <w:marTop w:val="0"/>
      <w:marBottom w:val="0"/>
      <w:divBdr>
        <w:top w:val="none" w:sz="0" w:space="0" w:color="auto"/>
        <w:left w:val="none" w:sz="0" w:space="0" w:color="auto"/>
        <w:bottom w:val="none" w:sz="0" w:space="0" w:color="auto"/>
        <w:right w:val="none" w:sz="0" w:space="0" w:color="auto"/>
      </w:divBdr>
    </w:div>
    <w:div w:id="1831287540">
      <w:bodyDiv w:val="1"/>
      <w:marLeft w:val="0"/>
      <w:marRight w:val="0"/>
      <w:marTop w:val="0"/>
      <w:marBottom w:val="0"/>
      <w:divBdr>
        <w:top w:val="none" w:sz="0" w:space="0" w:color="auto"/>
        <w:left w:val="none" w:sz="0" w:space="0" w:color="auto"/>
        <w:bottom w:val="none" w:sz="0" w:space="0" w:color="auto"/>
        <w:right w:val="none" w:sz="0" w:space="0" w:color="auto"/>
      </w:divBdr>
    </w:div>
    <w:div w:id="2031879507">
      <w:bodyDiv w:val="1"/>
      <w:marLeft w:val="0"/>
      <w:marRight w:val="0"/>
      <w:marTop w:val="0"/>
      <w:marBottom w:val="0"/>
      <w:divBdr>
        <w:top w:val="none" w:sz="0" w:space="0" w:color="auto"/>
        <w:left w:val="none" w:sz="0" w:space="0" w:color="auto"/>
        <w:bottom w:val="none" w:sz="0" w:space="0" w:color="auto"/>
        <w:right w:val="none" w:sz="0" w:space="0" w:color="auto"/>
      </w:divBdr>
    </w:div>
    <w:div w:id="2039626181">
      <w:bodyDiv w:val="1"/>
      <w:marLeft w:val="0"/>
      <w:marRight w:val="0"/>
      <w:marTop w:val="0"/>
      <w:marBottom w:val="0"/>
      <w:divBdr>
        <w:top w:val="none" w:sz="0" w:space="0" w:color="auto"/>
        <w:left w:val="none" w:sz="0" w:space="0" w:color="auto"/>
        <w:bottom w:val="none" w:sz="0" w:space="0" w:color="auto"/>
        <w:right w:val="none" w:sz="0" w:space="0" w:color="auto"/>
      </w:divBdr>
    </w:div>
    <w:div w:id="20588161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tandardandpoors.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buildamerica.com/credit-profiles" TargetMode="External"/><Relationship Id="rId4" Type="http://schemas.openxmlformats.org/officeDocument/2006/relationships/settings" Target="settings.xml"/><Relationship Id="rId9" Type="http://schemas.openxmlformats.org/officeDocument/2006/relationships/hyperlink" Target="http://www.buildamerica.com/video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AD68EB-8126-1F4A-BC9F-064B132F1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1431</Words>
  <Characters>7753</Characters>
  <Application>Microsoft Office Word</Application>
  <DocSecurity>0</DocSecurity>
  <Lines>111</Lines>
  <Paragraphs>32</Paragraphs>
  <ScaleCrop>false</ScaleCrop>
  <HeadingPairs>
    <vt:vector size="2" baseType="variant">
      <vt:variant>
        <vt:lpstr>Title</vt:lpstr>
      </vt:variant>
      <vt:variant>
        <vt:i4>1</vt:i4>
      </vt:variant>
    </vt:vector>
  </HeadingPairs>
  <TitlesOfParts>
    <vt:vector size="1" baseType="lpstr">
      <vt:lpstr> </vt:lpstr>
    </vt:vector>
  </TitlesOfParts>
  <Manager/>
  <Company/>
  <LinksUpToDate>false</LinksUpToDate>
  <CharactersWithSpaces>9195</CharactersWithSpaces>
  <SharedDoc>false</SharedDoc>
  <HyperlinkBase/>
  <HLinks>
    <vt:vector size="12" baseType="variant">
      <vt:variant>
        <vt:i4>7733315</vt:i4>
      </vt:variant>
      <vt:variant>
        <vt:i4>3</vt:i4>
      </vt:variant>
      <vt:variant>
        <vt:i4>0</vt:i4>
      </vt:variant>
      <vt:variant>
        <vt:i4>5</vt:i4>
      </vt:variant>
      <vt:variant>
        <vt:lpwstr>http://www.standardandpoors.com</vt:lpwstr>
      </vt:variant>
      <vt:variant>
        <vt:lpwstr/>
      </vt:variant>
      <vt:variant>
        <vt:i4>4653082</vt:i4>
      </vt:variant>
      <vt:variant>
        <vt:i4>0</vt:i4>
      </vt:variant>
      <vt:variant>
        <vt:i4>0</vt:i4>
      </vt:variant>
      <vt:variant>
        <vt:i4>5</vt:i4>
      </vt:variant>
      <vt:variant>
        <vt:lpwstr>mailto:documents@buildamerica.com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dc:description/>
  <cp:lastModifiedBy/>
  <cp:revision>1</cp:revision>
  <dcterms:created xsi:type="dcterms:W3CDTF">2021-11-11T16:42:00Z</dcterms:created>
  <dcterms:modified xsi:type="dcterms:W3CDTF">2024-05-09T19:18:00Z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updated by">
    <vt:lpwstr>P. James 5-09-24</vt:lpwstr>
  </property>
</Properties>
</file>